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2116734052"/>
        <w:docPartObj>
          <w:docPartGallery w:val="Cover Pages"/>
          <w:docPartUnique/>
        </w:docPartObj>
      </w:sdtPr>
      <w:sdtEndPr>
        <w:rPr>
          <w:lang w:val="es-ES_tradnl"/>
        </w:rPr>
      </w:sdtEndPr>
      <w:sdtContent>
        <w:p w14:paraId="28658AE0" w14:textId="77777777" w:rsidR="00F426A3" w:rsidRPr="00F669A9" w:rsidRDefault="00557E62">
          <w:pPr>
            <w:rPr>
              <w:rFonts w:ascii="Arial" w:hAnsi="Arial" w:cs="Arial"/>
              <w:sz w:val="24"/>
              <w:szCs w:val="24"/>
            </w:rPr>
          </w:pPr>
          <w:r w:rsidRPr="00F669A9">
            <w:rPr>
              <w:rFonts w:ascii="Arial" w:hAnsi="Arial" w:cs="Arial"/>
              <w:b/>
              <w:noProof/>
              <w:sz w:val="24"/>
              <w:szCs w:val="24"/>
              <w:lang w:eastAsia="es-MX"/>
            </w:rPr>
            <mc:AlternateContent>
              <mc:Choice Requires="wps">
                <w:drawing>
                  <wp:anchor distT="45720" distB="45720" distL="114300" distR="114300" simplePos="0" relativeHeight="251659264" behindDoc="0" locked="0" layoutInCell="1" allowOverlap="1" wp14:anchorId="05F75CEB" wp14:editId="7DB45B90">
                    <wp:simplePos x="0" y="0"/>
                    <wp:positionH relativeFrom="column">
                      <wp:posOffset>405765</wp:posOffset>
                    </wp:positionH>
                    <wp:positionV relativeFrom="paragraph">
                      <wp:posOffset>281305</wp:posOffset>
                    </wp:positionV>
                    <wp:extent cx="491490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404620"/>
                            </a:xfrm>
                            <a:prstGeom prst="rect">
                              <a:avLst/>
                            </a:prstGeom>
                            <a:noFill/>
                            <a:ln w="9525">
                              <a:noFill/>
                              <a:miter lim="800000"/>
                              <a:headEnd/>
                              <a:tailEnd/>
                            </a:ln>
                          </wps:spPr>
                          <wps:txbx>
                            <w:txbxContent>
                              <w:p w14:paraId="38FEF880" w14:textId="77777777" w:rsidR="00557E62" w:rsidRPr="00557E62" w:rsidRDefault="00557E62" w:rsidP="00557E62">
                                <w:pPr>
                                  <w:jc w:val="center"/>
                                  <w:rPr>
                                    <w:rFonts w:ascii="Arial" w:hAnsi="Arial" w:cs="Arial"/>
                                    <w:b/>
                                    <w:color w:val="FFFFFF" w:themeColor="background1"/>
                                    <w:sz w:val="40"/>
                                    <w:szCs w:val="40"/>
                                  </w:rPr>
                                </w:pPr>
                                <w:r w:rsidRPr="00557E62">
                                  <w:rPr>
                                    <w:rFonts w:ascii="Arial" w:hAnsi="Arial" w:cs="Arial"/>
                                    <w:b/>
                                    <w:color w:val="FFFFFF" w:themeColor="background1"/>
                                    <w:sz w:val="40"/>
                                    <w:szCs w:val="40"/>
                                  </w:rPr>
                                  <w:t>CURSO SOBRE LA PLANEACIÓN Y EJECUCIÓN DE AUDITORÍAS A LOS F</w:t>
                                </w:r>
                                <w:r>
                                  <w:rPr>
                                    <w:rFonts w:ascii="Arial" w:hAnsi="Arial" w:cs="Arial"/>
                                    <w:b/>
                                    <w:color w:val="FFFFFF" w:themeColor="background1"/>
                                    <w:sz w:val="40"/>
                                    <w:szCs w:val="40"/>
                                  </w:rPr>
                                  <w:t>ONDOS Y PROGRAMAS FEDERALIZADOS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313CFA" id="_x0000_t202" coordsize="21600,21600" o:spt="202" path="m,l,21600r21600,l21600,xe">
                    <v:stroke joinstyle="miter"/>
                    <v:path gradientshapeok="t" o:connecttype="rect"/>
                  </v:shapetype>
                  <v:shape id="Cuadro de texto 2" o:spid="_x0000_s1026" type="#_x0000_t202" style="position:absolute;margin-left:31.95pt;margin-top:22.15pt;width:38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" filled="f" stroked="f">
                    <v:textbox style="mso-fit-shape-to-text:t">
                      <w:txbxContent>
                        <w:p w:rsidR="00557E62" w:rsidRPr="00557E62" w:rsidRDefault="00557E62" w:rsidP="00557E62">
                          <w:pPr>
                            <w:jc w:val="center"/>
                            <w:rPr>
                              <w:rFonts w:ascii="Arial" w:hAnsi="Arial" w:cs="Arial"/>
                              <w:b/>
                              <w:color w:val="FFFFFF" w:themeColor="background1"/>
                              <w:sz w:val="40"/>
                              <w:szCs w:val="40"/>
                            </w:rPr>
                          </w:pPr>
                          <w:r w:rsidRPr="00557E62">
                            <w:rPr>
                              <w:rFonts w:ascii="Arial" w:hAnsi="Arial" w:cs="Arial"/>
                              <w:b/>
                              <w:color w:val="FFFFFF" w:themeColor="background1"/>
                              <w:sz w:val="40"/>
                              <w:szCs w:val="40"/>
                            </w:rPr>
                            <w:t>CURSO SOBRE LA PLANEACIÓN Y EJECUCIÓN DE AUDITORÍAS A LOS F</w:t>
                          </w:r>
                          <w:r>
                            <w:rPr>
                              <w:rFonts w:ascii="Arial" w:hAnsi="Arial" w:cs="Arial"/>
                              <w:b/>
                              <w:color w:val="FFFFFF" w:themeColor="background1"/>
                              <w:sz w:val="40"/>
                              <w:szCs w:val="40"/>
                            </w:rPr>
                            <w:t>ONDOS Y PROGRAMAS FEDERALIZADOS</w:t>
                          </w:r>
                        </w:p>
                      </w:txbxContent>
                    </v:textbox>
                    <w10:wrap type="square"/>
                  </v:shape>
                </w:pict>
              </mc:Fallback>
            </mc:AlternateContent>
          </w:r>
          <w:r w:rsidR="00F426A3" w:rsidRPr="00F669A9">
            <w:rPr>
              <w:rFonts w:ascii="Arial" w:hAnsi="Arial" w:cs="Arial"/>
              <w:noProof/>
              <w:sz w:val="24"/>
              <w:szCs w:val="24"/>
              <w:lang w:eastAsia="es-MX"/>
            </w:rPr>
            <mc:AlternateContent>
              <mc:Choice Requires="wps">
                <w:drawing>
                  <wp:anchor distT="0" distB="0" distL="114300" distR="114300" simplePos="0" relativeHeight="251657216" behindDoc="1" locked="0" layoutInCell="1" allowOverlap="1" wp14:anchorId="0B29AC5C" wp14:editId="58C60170">
                    <wp:simplePos x="0" y="0"/>
                    <wp:positionH relativeFrom="column">
                      <wp:posOffset>-1085215</wp:posOffset>
                    </wp:positionH>
                    <wp:positionV relativeFrom="paragraph">
                      <wp:posOffset>-899795</wp:posOffset>
                    </wp:positionV>
                    <wp:extent cx="7787640" cy="10053320"/>
                    <wp:effectExtent l="0" t="0" r="3810" b="5080"/>
                    <wp:wrapNone/>
                    <wp:docPr id="54" name="Rectángulo 54"/>
                    <wp:cNvGraphicFramePr/>
                    <a:graphic xmlns:a="http://schemas.openxmlformats.org/drawingml/2006/main">
                      <a:graphicData uri="http://schemas.microsoft.com/office/word/2010/wordprocessingShape">
                        <wps:wsp>
                          <wps:cNvSpPr/>
                          <wps:spPr>
                            <a:xfrm>
                              <a:off x="0" y="0"/>
                              <a:ext cx="7787640" cy="10053320"/>
                            </a:xfrm>
                            <a:prstGeom prst="rect">
                              <a:avLst/>
                            </a:prstGeom>
                            <a:blipFill>
                              <a:blip r:embed="rId5"/>
                              <a:stretch>
                                <a:fillRect/>
                              </a:stretch>
                            </a:blip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9BFF79A" w14:textId="77777777" w:rsidR="00F426A3" w:rsidRDefault="00F426A3">
                                <w:pPr>
                                  <w:pStyle w:val="Sinespaciado"/>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6F5DA" id="Rectángulo 54" o:spid="_x0000_s1027" style="position:absolute;margin-left:-85.45pt;margin-top:-70.85pt;width:613.2pt;height:79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" stroked="f" strokeweight="1pt">
                    <v:fill r:id="rId6" o:title="" recolor="t" rotate="t" type="frame"/>
                    <v:textbox inset="54pt,54pt,1in,5in">
                      <w:txbxContent>
                        <w:p w:rsidR="00F426A3" w:rsidRDefault="00F426A3">
                          <w:pPr>
                            <w:pStyle w:val="Sinespaciado"/>
                            <w:rPr>
                              <w:color w:val="FFFFFF" w:themeColor="background1"/>
                              <w:sz w:val="48"/>
                              <w:szCs w:val="48"/>
                            </w:rPr>
                          </w:pPr>
                        </w:p>
                      </w:txbxContent>
                    </v:textbox>
                  </v:rect>
                </w:pict>
              </mc:Fallback>
            </mc:AlternateContent>
          </w:r>
        </w:p>
        <w:p w14:paraId="5A8D86D8" w14:textId="142BA3BA" w:rsidR="00F426A3" w:rsidRPr="00F669A9" w:rsidRDefault="000C5794">
          <w:pPr>
            <w:rPr>
              <w:rFonts w:ascii="Arial" w:hAnsi="Arial" w:cs="Arial"/>
              <w:sz w:val="24"/>
              <w:szCs w:val="24"/>
              <w:lang w:val="es-ES_tradnl"/>
            </w:rPr>
          </w:pPr>
          <w:r w:rsidRPr="00F669A9">
            <w:rPr>
              <w:rFonts w:ascii="Arial" w:hAnsi="Arial" w:cs="Arial"/>
              <w:b/>
              <w:noProof/>
              <w:sz w:val="24"/>
              <w:szCs w:val="24"/>
              <w:lang w:eastAsia="es-MX"/>
            </w:rPr>
            <mc:AlternateContent>
              <mc:Choice Requires="wps">
                <w:drawing>
                  <wp:anchor distT="45720" distB="45720" distL="114300" distR="114300" simplePos="0" relativeHeight="251665408" behindDoc="0" locked="0" layoutInCell="1" allowOverlap="1" wp14:anchorId="3F32127C" wp14:editId="7EFBEEFE">
                    <wp:simplePos x="0" y="0"/>
                    <wp:positionH relativeFrom="column">
                      <wp:posOffset>-13335</wp:posOffset>
                    </wp:positionH>
                    <wp:positionV relativeFrom="paragraph">
                      <wp:posOffset>6083935</wp:posOffset>
                    </wp:positionV>
                    <wp:extent cx="5722620" cy="1404620"/>
                    <wp:effectExtent l="0" t="0" r="0" b="190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1404620"/>
                            </a:xfrm>
                            <a:prstGeom prst="rect">
                              <a:avLst/>
                            </a:prstGeom>
                            <a:noFill/>
                            <a:ln w="9525">
                              <a:noFill/>
                              <a:miter lim="800000"/>
                              <a:headEnd/>
                              <a:tailEnd/>
                            </a:ln>
                          </wps:spPr>
                          <wps:txbx>
                            <w:txbxContent>
                              <w:p w14:paraId="23AE38E5" w14:textId="77777777" w:rsidR="00501CB2" w:rsidRPr="000C5794" w:rsidRDefault="00501CB2" w:rsidP="00501CB2">
                                <w:pPr>
                                  <w:jc w:val="center"/>
                                  <w:rPr>
                                    <w:rFonts w:ascii="Arial" w:hAnsi="Arial" w:cs="Arial"/>
                                    <w:b/>
                                    <w:color w:val="FFFFFF" w:themeColor="background1"/>
                                    <w:sz w:val="24"/>
                                    <w:szCs w:val="24"/>
                                  </w:rPr>
                                </w:pPr>
                                <w:r w:rsidRPr="000C5794">
                                  <w:rPr>
                                    <w:rFonts w:ascii="Arial" w:hAnsi="Arial" w:cs="Arial"/>
                                    <w:b/>
                                    <w:color w:val="FFFFFF" w:themeColor="background1"/>
                                    <w:sz w:val="24"/>
                                    <w:szCs w:val="24"/>
                                  </w:rPr>
                                  <w:t xml:space="preserve">Información basada en </w:t>
                                </w:r>
                                <w:r w:rsidR="000C5794" w:rsidRPr="000C5794">
                                  <w:rPr>
                                    <w:rFonts w:ascii="Arial" w:hAnsi="Arial" w:cs="Arial"/>
                                    <w:b/>
                                    <w:color w:val="FFFFFF" w:themeColor="background1"/>
                                    <w:sz w:val="24"/>
                                    <w:szCs w:val="24"/>
                                  </w:rPr>
                                  <w:t>la Guía de Actuación para ejecutores de Fondos Federales con la metodología para la comprobación e integración de los expedientes 2020 y Lineamientos de Auditoría</w:t>
                                </w:r>
                              </w:p>
                              <w:p w14:paraId="6DC978EA" w14:textId="77777777" w:rsidR="00501CB2" w:rsidRPr="000C5794" w:rsidRDefault="00501CB2" w:rsidP="00501CB2">
                                <w:pPr>
                                  <w:jc w:val="center"/>
                                  <w:rPr>
                                    <w:rFonts w:ascii="Arial" w:hAnsi="Arial" w:cs="Arial"/>
                                    <w:b/>
                                    <w:color w:val="FFFFFF" w:themeColor="background1"/>
                                    <w:sz w:val="24"/>
                                    <w:szCs w:val="24"/>
                                  </w:rPr>
                                </w:pPr>
                                <w:r w:rsidRPr="000C5794">
                                  <w:rPr>
                                    <w:rFonts w:ascii="Arial" w:hAnsi="Arial" w:cs="Arial"/>
                                    <w:b/>
                                    <w:color w:val="FFFFFF" w:themeColor="background1"/>
                                    <w:sz w:val="24"/>
                                    <w:szCs w:val="24"/>
                                  </w:rPr>
                                  <w:t>Disponible</w:t>
                                </w:r>
                                <w:r w:rsidR="000C5794" w:rsidRPr="000C5794">
                                  <w:rPr>
                                    <w:rFonts w:ascii="Arial" w:hAnsi="Arial" w:cs="Arial"/>
                                    <w:b/>
                                    <w:color w:val="FFFFFF" w:themeColor="background1"/>
                                    <w:sz w:val="24"/>
                                    <w:szCs w:val="24"/>
                                  </w:rPr>
                                  <w:t>s</w:t>
                                </w:r>
                                <w:r w:rsidRPr="000C5794">
                                  <w:rPr>
                                    <w:rFonts w:ascii="Arial" w:hAnsi="Arial" w:cs="Arial"/>
                                    <w:b/>
                                    <w:color w:val="FFFFFF" w:themeColor="background1"/>
                                    <w:sz w:val="24"/>
                                    <w:szCs w:val="24"/>
                                  </w:rPr>
                                  <w:t xml:space="preserve"> en:</w:t>
                                </w:r>
                              </w:p>
                              <w:p w14:paraId="65308D09" w14:textId="77777777" w:rsidR="000C5794" w:rsidRDefault="000C5794" w:rsidP="000C5794">
                                <w:pPr>
                                  <w:spacing w:after="0" w:line="240" w:lineRule="auto"/>
                                  <w:jc w:val="center"/>
                                  <w:rPr>
                                    <w:rFonts w:ascii="Arial" w:hAnsi="Arial" w:cs="Arial"/>
                                    <w:b/>
                                    <w:color w:val="FFFFFF" w:themeColor="background1"/>
                                    <w:sz w:val="16"/>
                                    <w:szCs w:val="16"/>
                                  </w:rPr>
                                </w:pPr>
                                <w:r>
                                  <w:rPr>
                                    <w:rFonts w:ascii="Arial" w:hAnsi="Arial" w:cs="Arial"/>
                                    <w:b/>
                                    <w:color w:val="FFFFFF" w:themeColor="background1"/>
                                    <w:sz w:val="16"/>
                                    <w:szCs w:val="16"/>
                                  </w:rPr>
                                  <w:t>http://comisioncontralores.gob.mx/2017/images/2020/Formatos/00-Guia-Actuacion-Fondos-Federales.pdf</w:t>
                                </w:r>
                              </w:p>
                              <w:p w14:paraId="129F7EFE" w14:textId="77777777" w:rsidR="009232E8" w:rsidRPr="00501CB2" w:rsidRDefault="009232E8" w:rsidP="000C5794">
                                <w:pPr>
                                  <w:spacing w:after="0" w:line="240" w:lineRule="auto"/>
                                  <w:jc w:val="center"/>
                                  <w:rPr>
                                    <w:rFonts w:ascii="Arial" w:hAnsi="Arial" w:cs="Arial"/>
                                    <w:b/>
                                    <w:color w:val="FFFFFF" w:themeColor="background1"/>
                                    <w:sz w:val="16"/>
                                    <w:szCs w:val="16"/>
                                  </w:rPr>
                                </w:pPr>
                                <w:r w:rsidRPr="009232E8">
                                  <w:rPr>
                                    <w:rFonts w:ascii="Arial" w:hAnsi="Arial" w:cs="Arial"/>
                                    <w:b/>
                                    <w:color w:val="FFFFFF" w:themeColor="background1"/>
                                    <w:sz w:val="16"/>
                                    <w:szCs w:val="16"/>
                                  </w:rPr>
                                  <w:t>http://comisioncontralores.gob.mx/2017/herramientas/documentos/lineamientos-de-auditoria.html?start=45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B0F8BE" id="_x0000_t202" coordsize="21600,21600" o:spt="202" path="m,l,21600r21600,l21600,xe">
                    <v:stroke joinstyle="miter"/>
                    <v:path gradientshapeok="t" o:connecttype="rect"/>
                  </v:shapetype>
                  <v:shape id="_x0000_s1028" type="#_x0000_t202" style="position:absolute;margin-left:-1.05pt;margin-top:479.05pt;width:450.6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" filled="f" stroked="f">
                    <v:textbox style="mso-fit-shape-to-text:t">
                      <w:txbxContent>
                        <w:p w:rsidR="00501CB2" w:rsidRPr="000C5794" w:rsidRDefault="00501CB2" w:rsidP="00501CB2">
                          <w:pPr>
                            <w:jc w:val="center"/>
                            <w:rPr>
                              <w:rFonts w:ascii="Arial" w:hAnsi="Arial" w:cs="Arial"/>
                              <w:b/>
                              <w:color w:val="FFFFFF" w:themeColor="background1"/>
                              <w:sz w:val="24"/>
                              <w:szCs w:val="24"/>
                            </w:rPr>
                          </w:pPr>
                          <w:bookmarkStart w:id="1" w:name="_GoBack"/>
                          <w:r w:rsidRPr="000C5794">
                            <w:rPr>
                              <w:rFonts w:ascii="Arial" w:hAnsi="Arial" w:cs="Arial"/>
                              <w:b/>
                              <w:color w:val="FFFFFF" w:themeColor="background1"/>
                              <w:sz w:val="24"/>
                              <w:szCs w:val="24"/>
                            </w:rPr>
                            <w:t xml:space="preserve">Información basada en </w:t>
                          </w:r>
                          <w:r w:rsidR="000C5794" w:rsidRPr="000C5794">
                            <w:rPr>
                              <w:rFonts w:ascii="Arial" w:hAnsi="Arial" w:cs="Arial"/>
                              <w:b/>
                              <w:color w:val="FFFFFF" w:themeColor="background1"/>
                              <w:sz w:val="24"/>
                              <w:szCs w:val="24"/>
                            </w:rPr>
                            <w:t>la Guía de Actuación para ejecutores de Fondos Federales con la metodología para la comprobación e integración de los expedientes 2020 y Lineamientos de Auditoría</w:t>
                          </w:r>
                        </w:p>
                        <w:p w:rsidR="00501CB2" w:rsidRPr="000C5794" w:rsidRDefault="00501CB2" w:rsidP="00501CB2">
                          <w:pPr>
                            <w:jc w:val="center"/>
                            <w:rPr>
                              <w:rFonts w:ascii="Arial" w:hAnsi="Arial" w:cs="Arial"/>
                              <w:b/>
                              <w:color w:val="FFFFFF" w:themeColor="background1"/>
                              <w:sz w:val="24"/>
                              <w:szCs w:val="24"/>
                            </w:rPr>
                          </w:pPr>
                          <w:r w:rsidRPr="000C5794">
                            <w:rPr>
                              <w:rFonts w:ascii="Arial" w:hAnsi="Arial" w:cs="Arial"/>
                              <w:b/>
                              <w:color w:val="FFFFFF" w:themeColor="background1"/>
                              <w:sz w:val="24"/>
                              <w:szCs w:val="24"/>
                            </w:rPr>
                            <w:t>Disponible</w:t>
                          </w:r>
                          <w:r w:rsidR="000C5794" w:rsidRPr="000C5794">
                            <w:rPr>
                              <w:rFonts w:ascii="Arial" w:hAnsi="Arial" w:cs="Arial"/>
                              <w:b/>
                              <w:color w:val="FFFFFF" w:themeColor="background1"/>
                              <w:sz w:val="24"/>
                              <w:szCs w:val="24"/>
                            </w:rPr>
                            <w:t>s</w:t>
                          </w:r>
                          <w:r w:rsidRPr="000C5794">
                            <w:rPr>
                              <w:rFonts w:ascii="Arial" w:hAnsi="Arial" w:cs="Arial"/>
                              <w:b/>
                              <w:color w:val="FFFFFF" w:themeColor="background1"/>
                              <w:sz w:val="24"/>
                              <w:szCs w:val="24"/>
                            </w:rPr>
                            <w:t xml:space="preserve"> en:</w:t>
                          </w:r>
                        </w:p>
                        <w:p w:rsidR="000C5794" w:rsidRDefault="000C5794" w:rsidP="000C5794">
                          <w:pPr>
                            <w:spacing w:after="0" w:line="240" w:lineRule="auto"/>
                            <w:jc w:val="center"/>
                            <w:rPr>
                              <w:rFonts w:ascii="Arial" w:hAnsi="Arial" w:cs="Arial"/>
                              <w:b/>
                              <w:color w:val="FFFFFF" w:themeColor="background1"/>
                              <w:sz w:val="16"/>
                              <w:szCs w:val="16"/>
                            </w:rPr>
                          </w:pPr>
                          <w:r>
                            <w:rPr>
                              <w:rFonts w:ascii="Arial" w:hAnsi="Arial" w:cs="Arial"/>
                              <w:b/>
                              <w:color w:val="FFFFFF" w:themeColor="background1"/>
                              <w:sz w:val="16"/>
                              <w:szCs w:val="16"/>
                            </w:rPr>
                            <w:t>http://comisioncontralores.gob.mx/2017/images/2020/Formatos/00-Guia-Actuacion-Fondos-Federales.pdf</w:t>
                          </w:r>
                        </w:p>
                        <w:p w:rsidR="009232E8" w:rsidRPr="00501CB2" w:rsidRDefault="009232E8" w:rsidP="000C5794">
                          <w:pPr>
                            <w:spacing w:after="0" w:line="240" w:lineRule="auto"/>
                            <w:jc w:val="center"/>
                            <w:rPr>
                              <w:rFonts w:ascii="Arial" w:hAnsi="Arial" w:cs="Arial"/>
                              <w:b/>
                              <w:color w:val="FFFFFF" w:themeColor="background1"/>
                              <w:sz w:val="16"/>
                              <w:szCs w:val="16"/>
                            </w:rPr>
                          </w:pPr>
                          <w:r w:rsidRPr="009232E8">
                            <w:rPr>
                              <w:rFonts w:ascii="Arial" w:hAnsi="Arial" w:cs="Arial"/>
                              <w:b/>
                              <w:color w:val="FFFFFF" w:themeColor="background1"/>
                              <w:sz w:val="16"/>
                              <w:szCs w:val="16"/>
                            </w:rPr>
                            <w:t>http://comisioncontralores.gob.mx/2017/herramientas/documentos/lineamientos-de-auditoria.html?start=45</w:t>
                          </w:r>
                          <w:bookmarkEnd w:id="1"/>
                        </w:p>
                      </w:txbxContent>
                    </v:textbox>
                    <w10:wrap type="square"/>
                  </v:shape>
                </w:pict>
              </mc:Fallback>
            </mc:AlternateContent>
          </w:r>
          <w:r w:rsidR="00722BAE" w:rsidRPr="00F669A9">
            <w:rPr>
              <w:rFonts w:ascii="Arial" w:hAnsi="Arial" w:cs="Arial"/>
              <w:b/>
              <w:noProof/>
              <w:sz w:val="24"/>
              <w:szCs w:val="24"/>
              <w:lang w:eastAsia="es-MX"/>
            </w:rPr>
            <mc:AlternateContent>
              <mc:Choice Requires="wps">
                <w:drawing>
                  <wp:anchor distT="45720" distB="45720" distL="114300" distR="114300" simplePos="0" relativeHeight="251663360" behindDoc="0" locked="0" layoutInCell="1" allowOverlap="1" wp14:anchorId="3F4FD503" wp14:editId="6934C985">
                    <wp:simplePos x="0" y="0"/>
                    <wp:positionH relativeFrom="column">
                      <wp:posOffset>535305</wp:posOffset>
                    </wp:positionH>
                    <wp:positionV relativeFrom="paragraph">
                      <wp:posOffset>4824730</wp:posOffset>
                    </wp:positionV>
                    <wp:extent cx="4914900" cy="140462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404620"/>
                            </a:xfrm>
                            <a:prstGeom prst="rect">
                              <a:avLst/>
                            </a:prstGeom>
                            <a:noFill/>
                            <a:ln w="9525">
                              <a:noFill/>
                              <a:miter lim="800000"/>
                              <a:headEnd/>
                              <a:tailEnd/>
                            </a:ln>
                          </wps:spPr>
                          <wps:txbx>
                            <w:txbxContent>
                              <w:p w14:paraId="0A09775A" w14:textId="77777777" w:rsidR="00501CB2" w:rsidRDefault="00501CB2" w:rsidP="00501CB2">
                                <w:pPr>
                                  <w:jc w:val="center"/>
                                  <w:rPr>
                                    <w:rFonts w:ascii="Arial" w:hAnsi="Arial" w:cs="Arial"/>
                                    <w:b/>
                                    <w:color w:val="FFFFFF" w:themeColor="background1"/>
                                    <w:sz w:val="40"/>
                                    <w:szCs w:val="40"/>
                                  </w:rPr>
                                </w:pPr>
                                <w:r>
                                  <w:rPr>
                                    <w:rFonts w:ascii="Arial" w:hAnsi="Arial" w:cs="Arial"/>
                                    <w:b/>
                                    <w:color w:val="FFFFFF" w:themeColor="background1"/>
                                    <w:sz w:val="40"/>
                                    <w:szCs w:val="40"/>
                                  </w:rPr>
                                  <w:t xml:space="preserve">MÓDULO </w:t>
                                </w:r>
                                <w:r w:rsidR="009232E8">
                                  <w:rPr>
                                    <w:rFonts w:ascii="Arial" w:hAnsi="Arial" w:cs="Arial"/>
                                    <w:b/>
                                    <w:color w:val="FFFFFF" w:themeColor="background1"/>
                                    <w:sz w:val="40"/>
                                    <w:szCs w:val="40"/>
                                  </w:rPr>
                                  <w:t>I</w:t>
                                </w:r>
                                <w:r w:rsidR="00FC0B5B">
                                  <w:rPr>
                                    <w:rFonts w:ascii="Arial" w:hAnsi="Arial" w:cs="Arial"/>
                                    <w:b/>
                                    <w:color w:val="FFFFFF" w:themeColor="background1"/>
                                    <w:sz w:val="40"/>
                                    <w:szCs w:val="40"/>
                                  </w:rPr>
                                  <w:t>V</w:t>
                                </w:r>
                              </w:p>
                              <w:p w14:paraId="28347DE8" w14:textId="77777777" w:rsidR="00722BAE" w:rsidRPr="00557E62" w:rsidRDefault="00FC0B5B" w:rsidP="00501CB2">
                                <w:pPr>
                                  <w:jc w:val="center"/>
                                  <w:rPr>
                                    <w:rFonts w:ascii="Arial" w:hAnsi="Arial" w:cs="Arial"/>
                                    <w:b/>
                                    <w:color w:val="FFFFFF" w:themeColor="background1"/>
                                    <w:sz w:val="40"/>
                                    <w:szCs w:val="40"/>
                                  </w:rPr>
                                </w:pPr>
                                <w:r>
                                  <w:rPr>
                                    <w:rFonts w:ascii="Arial" w:hAnsi="Arial" w:cs="Arial"/>
                                    <w:b/>
                                    <w:color w:val="FFFFFF" w:themeColor="background1"/>
                                    <w:sz w:val="40"/>
                                    <w:szCs w:val="40"/>
                                  </w:rPr>
                                  <w:t>EJERCICIO DE RECURSOS PÚBLICOS FEDERALES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4FD503" id="_x0000_t202" coordsize="21600,21600" o:spt="202" path="m,l,21600r21600,l21600,xe">
                    <v:stroke joinstyle="miter"/>
                    <v:path gradientshapeok="t" o:connecttype="rect"/>
                  </v:shapetype>
                  <v:shape id="_x0000_s1029" type="#_x0000_t202" style="position:absolute;margin-left:42.15pt;margin-top:379.9pt;width:38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" filled="f" stroked="f">
                    <v:textbox style="mso-fit-shape-to-text:t">
                      <w:txbxContent>
                        <w:p w14:paraId="0A09775A" w14:textId="77777777" w:rsidR="00501CB2" w:rsidRDefault="00501CB2" w:rsidP="00501CB2">
                          <w:pPr>
                            <w:jc w:val="center"/>
                            <w:rPr>
                              <w:rFonts w:ascii="Arial" w:hAnsi="Arial" w:cs="Arial"/>
                              <w:b/>
                              <w:color w:val="FFFFFF" w:themeColor="background1"/>
                              <w:sz w:val="40"/>
                              <w:szCs w:val="40"/>
                            </w:rPr>
                          </w:pPr>
                          <w:r>
                            <w:rPr>
                              <w:rFonts w:ascii="Arial" w:hAnsi="Arial" w:cs="Arial"/>
                              <w:b/>
                              <w:color w:val="FFFFFF" w:themeColor="background1"/>
                              <w:sz w:val="40"/>
                              <w:szCs w:val="40"/>
                            </w:rPr>
                            <w:t xml:space="preserve">MÓDULO </w:t>
                          </w:r>
                          <w:r w:rsidR="009232E8">
                            <w:rPr>
                              <w:rFonts w:ascii="Arial" w:hAnsi="Arial" w:cs="Arial"/>
                              <w:b/>
                              <w:color w:val="FFFFFF" w:themeColor="background1"/>
                              <w:sz w:val="40"/>
                              <w:szCs w:val="40"/>
                            </w:rPr>
                            <w:t>I</w:t>
                          </w:r>
                          <w:r w:rsidR="00FC0B5B">
                            <w:rPr>
                              <w:rFonts w:ascii="Arial" w:hAnsi="Arial" w:cs="Arial"/>
                              <w:b/>
                              <w:color w:val="FFFFFF" w:themeColor="background1"/>
                              <w:sz w:val="40"/>
                              <w:szCs w:val="40"/>
                            </w:rPr>
                            <w:t>V</w:t>
                          </w:r>
                        </w:p>
                        <w:p w14:paraId="28347DE8" w14:textId="77777777" w:rsidR="00722BAE" w:rsidRPr="00557E62" w:rsidRDefault="00FC0B5B" w:rsidP="00501CB2">
                          <w:pPr>
                            <w:jc w:val="center"/>
                            <w:rPr>
                              <w:rFonts w:ascii="Arial" w:hAnsi="Arial" w:cs="Arial"/>
                              <w:b/>
                              <w:color w:val="FFFFFF" w:themeColor="background1"/>
                              <w:sz w:val="40"/>
                              <w:szCs w:val="40"/>
                            </w:rPr>
                          </w:pPr>
                          <w:r>
                            <w:rPr>
                              <w:rFonts w:ascii="Arial" w:hAnsi="Arial" w:cs="Arial"/>
                              <w:b/>
                              <w:color w:val="FFFFFF" w:themeColor="background1"/>
                              <w:sz w:val="40"/>
                              <w:szCs w:val="40"/>
                            </w:rPr>
                            <w:t>EJERCICIO DE RECURSOS PÚBLICOS FEDERALES</w:t>
                          </w:r>
                        </w:p>
                      </w:txbxContent>
                    </v:textbox>
                    <w10:wrap type="square"/>
                  </v:shape>
                </w:pict>
              </mc:Fallback>
            </mc:AlternateContent>
          </w:r>
          <w:r w:rsidR="00557E62" w:rsidRPr="00F669A9">
            <w:rPr>
              <w:rFonts w:ascii="Arial" w:hAnsi="Arial" w:cs="Arial"/>
              <w:b/>
              <w:noProof/>
              <w:sz w:val="24"/>
              <w:szCs w:val="24"/>
              <w:lang w:eastAsia="es-MX"/>
            </w:rPr>
            <mc:AlternateContent>
              <mc:Choice Requires="wps">
                <w:drawing>
                  <wp:anchor distT="45720" distB="45720" distL="114300" distR="114300" simplePos="0" relativeHeight="251661312" behindDoc="0" locked="0" layoutInCell="1" allowOverlap="1" wp14:anchorId="769033E9" wp14:editId="0BAD140D">
                    <wp:simplePos x="0" y="0"/>
                    <wp:positionH relativeFrom="column">
                      <wp:posOffset>481965</wp:posOffset>
                    </wp:positionH>
                    <wp:positionV relativeFrom="paragraph">
                      <wp:posOffset>2433955</wp:posOffset>
                    </wp:positionV>
                    <wp:extent cx="4914900" cy="140462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404620"/>
                            </a:xfrm>
                            <a:prstGeom prst="rect">
                              <a:avLst/>
                            </a:prstGeom>
                            <a:noFill/>
                            <a:ln w="9525">
                              <a:noFill/>
                              <a:miter lim="800000"/>
                              <a:headEnd/>
                              <a:tailEnd/>
                            </a:ln>
                          </wps:spPr>
                          <wps:txbx>
                            <w:txbxContent>
                              <w:p w14:paraId="1CB39717" w14:textId="2D8689CA" w:rsidR="00557E62" w:rsidRPr="00557E62" w:rsidRDefault="00A209B3" w:rsidP="00557E62">
                                <w:pPr>
                                  <w:jc w:val="center"/>
                                  <w:rPr>
                                    <w:rFonts w:ascii="Arial" w:hAnsi="Arial" w:cs="Arial"/>
                                    <w:b/>
                                    <w:color w:val="FFFFFF" w:themeColor="background1"/>
                                    <w:sz w:val="36"/>
                                    <w:szCs w:val="36"/>
                                  </w:rPr>
                                </w:pPr>
                                <w:r w:rsidRPr="004B5FA4">
                                  <w:rPr>
                                    <w:noProof/>
                                  </w:rPr>
                                  <w:drawing>
                                    <wp:inline distT="0" distB="0" distL="0" distR="0" wp14:anchorId="1D60CDAC" wp14:editId="2F2A6EF0">
                                      <wp:extent cx="4723130" cy="763200"/>
                                      <wp:effectExtent l="0" t="0" r="1270" b="0"/>
                                      <wp:docPr id="2" name="Imagen 4">
                                        <a:extLst xmlns:a="http://schemas.openxmlformats.org/drawingml/2006/main">
                                          <a:ext uri="{FF2B5EF4-FFF2-40B4-BE49-F238E27FC236}">
                                            <a16:creationId xmlns:a16="http://schemas.microsoft.com/office/drawing/2014/main" id="{193EB03E-6F6F-4D8B-BF6D-DEC629CD1F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193EB03E-6F6F-4D8B-BF6D-DEC629CD1F2E}"/>
                                                  </a:ext>
                                                </a:extLst>
                                              </pic:cNvPr>
                                              <pic:cNvPicPr>
                                                <a:picLocks noChangeAspect="1"/>
                                              </pic:cNvPicPr>
                                            </pic:nvPicPr>
                                            <pic:blipFill>
                                              <a:blip r:embed="rId7"/>
                                              <a:stretch>
                                                <a:fillRect/>
                                              </a:stretch>
                                            </pic:blipFill>
                                            <pic:spPr>
                                              <a:xfrm>
                                                <a:off x="0" y="0"/>
                                                <a:ext cx="4723130" cy="76320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9033E9" id="_x0000_s1030" type="#_x0000_t202" style="position:absolute;margin-left:37.95pt;margin-top:191.65pt;width:38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" filled="f" stroked="f">
                    <v:textbox style="mso-fit-shape-to-text:t">
                      <w:txbxContent>
                        <w:p w14:paraId="1CB39717" w14:textId="2D8689CA" w:rsidR="00557E62" w:rsidRPr="00557E62" w:rsidRDefault="00A209B3" w:rsidP="00557E62">
                          <w:pPr>
                            <w:jc w:val="center"/>
                            <w:rPr>
                              <w:rFonts w:ascii="Arial" w:hAnsi="Arial" w:cs="Arial"/>
                              <w:b/>
                              <w:color w:val="FFFFFF" w:themeColor="background1"/>
                              <w:sz w:val="36"/>
                              <w:szCs w:val="36"/>
                            </w:rPr>
                          </w:pPr>
                          <w:r w:rsidRPr="004B5FA4">
                            <w:rPr>
                              <w:noProof/>
                            </w:rPr>
                            <w:drawing>
                              <wp:inline distT="0" distB="0" distL="0" distR="0" wp14:anchorId="1D60CDAC" wp14:editId="2F2A6EF0">
                                <wp:extent cx="4723130" cy="763200"/>
                                <wp:effectExtent l="0" t="0" r="1270" b="0"/>
                                <wp:docPr id="2" name="Imagen 4">
                                  <a:extLst xmlns:a="http://schemas.openxmlformats.org/drawingml/2006/main">
                                    <a:ext uri="{FF2B5EF4-FFF2-40B4-BE49-F238E27FC236}">
                                      <a16:creationId xmlns:a16="http://schemas.microsoft.com/office/drawing/2014/main" id="{193EB03E-6F6F-4D8B-BF6D-DEC629CD1F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193EB03E-6F6F-4D8B-BF6D-DEC629CD1F2E}"/>
                                            </a:ext>
                                          </a:extLst>
                                        </pic:cNvPr>
                                        <pic:cNvPicPr>
                                          <a:picLocks noChangeAspect="1"/>
                                        </pic:cNvPicPr>
                                      </pic:nvPicPr>
                                      <pic:blipFill>
                                        <a:blip r:embed="rId8"/>
                                        <a:stretch>
                                          <a:fillRect/>
                                        </a:stretch>
                                      </pic:blipFill>
                                      <pic:spPr>
                                        <a:xfrm>
                                          <a:off x="0" y="0"/>
                                          <a:ext cx="4723130" cy="763200"/>
                                        </a:xfrm>
                                        <a:prstGeom prst="rect">
                                          <a:avLst/>
                                        </a:prstGeom>
                                      </pic:spPr>
                                    </pic:pic>
                                  </a:graphicData>
                                </a:graphic>
                              </wp:inline>
                            </w:drawing>
                          </w:r>
                        </w:p>
                      </w:txbxContent>
                    </v:textbox>
                    <w10:wrap type="square"/>
                  </v:shape>
                </w:pict>
              </mc:Fallback>
            </mc:AlternateContent>
          </w:r>
          <w:r w:rsidR="00F426A3" w:rsidRPr="00F669A9">
            <w:rPr>
              <w:rFonts w:ascii="Arial" w:hAnsi="Arial" w:cs="Arial"/>
              <w:sz w:val="24"/>
              <w:szCs w:val="24"/>
              <w:lang w:val="es-ES_tradnl"/>
            </w:rPr>
            <w:br w:type="page"/>
          </w:r>
        </w:p>
      </w:sdtContent>
    </w:sdt>
    <w:p w14:paraId="027AF3A6" w14:textId="77777777" w:rsidR="00E17E5A" w:rsidRDefault="00E17E5A" w:rsidP="00BE552E">
      <w:pPr>
        <w:jc w:val="center"/>
        <w:rPr>
          <w:rFonts w:ascii="Arial" w:hAnsi="Arial" w:cs="Arial"/>
          <w:b/>
          <w:sz w:val="24"/>
          <w:szCs w:val="24"/>
        </w:rPr>
      </w:pPr>
      <w:r w:rsidRPr="00F669A9">
        <w:rPr>
          <w:rFonts w:ascii="Arial" w:hAnsi="Arial" w:cs="Arial"/>
          <w:b/>
          <w:sz w:val="24"/>
          <w:szCs w:val="24"/>
        </w:rPr>
        <w:lastRenderedPageBreak/>
        <w:t>CURSO SOBRE LA PLANEACIÓN Y EJECUCIÓN DE AUDITORÍAS A LOS FONDOS Y PROGRAMAS FEDERALIZADOS.</w:t>
      </w:r>
    </w:p>
    <w:p w14:paraId="41E1DF5A" w14:textId="77777777" w:rsidR="00722BAE" w:rsidRDefault="00722BAE" w:rsidP="00BE552E">
      <w:pPr>
        <w:jc w:val="center"/>
        <w:rPr>
          <w:rFonts w:ascii="Arial" w:hAnsi="Arial" w:cs="Arial"/>
          <w:b/>
          <w:sz w:val="24"/>
          <w:szCs w:val="24"/>
        </w:rPr>
      </w:pPr>
    </w:p>
    <w:p w14:paraId="11425472" w14:textId="77777777" w:rsidR="00722BAE" w:rsidRDefault="00722BAE" w:rsidP="00BE552E">
      <w:pPr>
        <w:jc w:val="center"/>
        <w:rPr>
          <w:rFonts w:ascii="Arial" w:hAnsi="Arial" w:cs="Arial"/>
          <w:b/>
          <w:sz w:val="24"/>
          <w:szCs w:val="24"/>
        </w:rPr>
      </w:pPr>
      <w:r>
        <w:rPr>
          <w:rFonts w:ascii="Arial" w:hAnsi="Arial" w:cs="Arial"/>
          <w:b/>
          <w:sz w:val="24"/>
          <w:szCs w:val="24"/>
        </w:rPr>
        <w:t>MÓDULO I</w:t>
      </w:r>
      <w:r w:rsidR="00FC0B5B">
        <w:rPr>
          <w:rFonts w:ascii="Arial" w:hAnsi="Arial" w:cs="Arial"/>
          <w:b/>
          <w:sz w:val="24"/>
          <w:szCs w:val="24"/>
        </w:rPr>
        <w:t>V</w:t>
      </w:r>
    </w:p>
    <w:p w14:paraId="38AE4E3D" w14:textId="77777777" w:rsidR="00722BAE" w:rsidRDefault="00722BAE" w:rsidP="00BE552E">
      <w:pPr>
        <w:jc w:val="center"/>
        <w:rPr>
          <w:rFonts w:ascii="Arial" w:hAnsi="Arial" w:cs="Arial"/>
          <w:b/>
          <w:sz w:val="24"/>
          <w:szCs w:val="24"/>
        </w:rPr>
      </w:pPr>
      <w:r>
        <w:rPr>
          <w:rFonts w:ascii="Arial" w:hAnsi="Arial" w:cs="Arial"/>
          <w:b/>
          <w:sz w:val="24"/>
          <w:szCs w:val="24"/>
        </w:rPr>
        <w:t>“</w:t>
      </w:r>
      <w:r w:rsidR="00FC0B5B">
        <w:rPr>
          <w:rFonts w:ascii="Arial" w:hAnsi="Arial" w:cs="Arial"/>
          <w:b/>
          <w:sz w:val="24"/>
          <w:szCs w:val="24"/>
        </w:rPr>
        <w:t>EJERCICIO DE RECURSOS PÚBLICOS FEDERALES</w:t>
      </w:r>
      <w:r>
        <w:rPr>
          <w:rFonts w:ascii="Arial" w:hAnsi="Arial" w:cs="Arial"/>
          <w:b/>
          <w:sz w:val="24"/>
          <w:szCs w:val="24"/>
        </w:rPr>
        <w:t>”</w:t>
      </w:r>
    </w:p>
    <w:p w14:paraId="11FC562D" w14:textId="77777777" w:rsidR="00FC0B5B" w:rsidRDefault="00FC0B5B" w:rsidP="00BE552E">
      <w:pPr>
        <w:jc w:val="center"/>
        <w:rPr>
          <w:rFonts w:ascii="Arial" w:hAnsi="Arial" w:cs="Arial"/>
          <w:b/>
          <w:sz w:val="24"/>
          <w:szCs w:val="24"/>
        </w:rPr>
      </w:pPr>
    </w:p>
    <w:p w14:paraId="1882B1ED" w14:textId="77777777" w:rsidR="00FC0B5B" w:rsidRPr="00F669A9" w:rsidRDefault="00FC0B5B" w:rsidP="00FC0B5B">
      <w:pPr>
        <w:jc w:val="center"/>
        <w:rPr>
          <w:rFonts w:ascii="Arial" w:hAnsi="Arial" w:cs="Arial"/>
          <w:b/>
          <w:sz w:val="24"/>
          <w:szCs w:val="24"/>
        </w:rPr>
      </w:pPr>
      <w:r w:rsidRPr="00F669A9">
        <w:rPr>
          <w:rFonts w:ascii="Arial" w:hAnsi="Arial" w:cs="Arial"/>
          <w:b/>
          <w:sz w:val="24"/>
          <w:szCs w:val="24"/>
        </w:rPr>
        <w:t>CONTENIDO</w:t>
      </w:r>
    </w:p>
    <w:p w14:paraId="68F07FB3" w14:textId="77777777" w:rsidR="00FC0B5B" w:rsidRPr="00F669A9" w:rsidRDefault="00FC0B5B" w:rsidP="00BE552E">
      <w:pPr>
        <w:jc w:val="center"/>
        <w:rPr>
          <w:rFonts w:ascii="Arial" w:hAnsi="Arial" w:cs="Arial"/>
          <w:b/>
          <w:sz w:val="24"/>
          <w:szCs w:val="24"/>
        </w:rPr>
      </w:pPr>
    </w:p>
    <w:p w14:paraId="6D5FF57A" w14:textId="77777777" w:rsidR="00E17E5A" w:rsidRPr="00FC0B5B" w:rsidRDefault="009E2BA6" w:rsidP="001B24EB">
      <w:pPr>
        <w:jc w:val="both"/>
        <w:rPr>
          <w:rFonts w:ascii="Arial" w:hAnsi="Arial" w:cs="Arial"/>
          <w:b/>
          <w:sz w:val="24"/>
          <w:szCs w:val="24"/>
        </w:rPr>
      </w:pPr>
      <w:r w:rsidRPr="00FC0B5B">
        <w:rPr>
          <w:rFonts w:ascii="Arial" w:hAnsi="Arial" w:cs="Arial"/>
          <w:b/>
          <w:sz w:val="24"/>
          <w:szCs w:val="24"/>
        </w:rPr>
        <w:t xml:space="preserve">Tema 1. </w:t>
      </w:r>
      <w:r w:rsidR="00FC0B5B" w:rsidRPr="00FC0B5B">
        <w:rPr>
          <w:rFonts w:ascii="Arial" w:hAnsi="Arial" w:cs="Arial"/>
          <w:b/>
          <w:sz w:val="24"/>
          <w:szCs w:val="24"/>
        </w:rPr>
        <w:t>Metodología para la comprobación e integración de los expedientes</w:t>
      </w:r>
      <w:r w:rsidRPr="00FC0B5B">
        <w:rPr>
          <w:rFonts w:ascii="Arial" w:hAnsi="Arial" w:cs="Arial"/>
          <w:b/>
          <w:sz w:val="24"/>
          <w:szCs w:val="24"/>
        </w:rPr>
        <w:t>.</w:t>
      </w:r>
    </w:p>
    <w:p w14:paraId="15594867" w14:textId="77777777" w:rsidR="009E2BA6" w:rsidRPr="00F669A9" w:rsidRDefault="009E2BA6" w:rsidP="001B24EB">
      <w:pPr>
        <w:jc w:val="both"/>
        <w:rPr>
          <w:rFonts w:ascii="Arial" w:hAnsi="Arial" w:cs="Arial"/>
          <w:sz w:val="24"/>
          <w:szCs w:val="24"/>
        </w:rPr>
      </w:pPr>
    </w:p>
    <w:p w14:paraId="1D3B4D4B" w14:textId="77777777" w:rsidR="00FC0B5B" w:rsidRDefault="00FC0B5B" w:rsidP="00FC0B5B">
      <w:pPr>
        <w:pStyle w:val="Prrafodelista"/>
        <w:numPr>
          <w:ilvl w:val="1"/>
          <w:numId w:val="11"/>
        </w:numPr>
        <w:spacing w:line="360" w:lineRule="auto"/>
        <w:rPr>
          <w:rFonts w:ascii="Arial" w:hAnsi="Arial" w:cs="Arial"/>
          <w:sz w:val="24"/>
          <w:szCs w:val="24"/>
        </w:rPr>
      </w:pPr>
      <w:r>
        <w:rPr>
          <w:rFonts w:ascii="Arial" w:hAnsi="Arial" w:cs="Arial"/>
          <w:sz w:val="24"/>
          <w:szCs w:val="24"/>
        </w:rPr>
        <w:t>Introducción.</w:t>
      </w:r>
    </w:p>
    <w:p w14:paraId="071100BB" w14:textId="77777777" w:rsidR="00FC0B5B" w:rsidRDefault="00FC0B5B" w:rsidP="00FC0B5B">
      <w:pPr>
        <w:pStyle w:val="Prrafodelista"/>
        <w:numPr>
          <w:ilvl w:val="1"/>
          <w:numId w:val="11"/>
        </w:numPr>
        <w:spacing w:line="360" w:lineRule="auto"/>
        <w:rPr>
          <w:rFonts w:ascii="Arial" w:hAnsi="Arial" w:cs="Arial"/>
          <w:sz w:val="24"/>
          <w:szCs w:val="24"/>
        </w:rPr>
      </w:pPr>
      <w:r>
        <w:rPr>
          <w:rFonts w:ascii="Arial" w:hAnsi="Arial" w:cs="Arial"/>
          <w:sz w:val="24"/>
          <w:szCs w:val="24"/>
        </w:rPr>
        <w:t>Observaciones recurrentes.</w:t>
      </w:r>
    </w:p>
    <w:p w14:paraId="3255A82D" w14:textId="77777777" w:rsidR="00FC0B5B" w:rsidRDefault="00FC0B5B" w:rsidP="00FC0B5B">
      <w:pPr>
        <w:pStyle w:val="Prrafodelista"/>
        <w:numPr>
          <w:ilvl w:val="1"/>
          <w:numId w:val="11"/>
        </w:numPr>
        <w:spacing w:line="360" w:lineRule="auto"/>
        <w:rPr>
          <w:rFonts w:ascii="Arial" w:hAnsi="Arial" w:cs="Arial"/>
          <w:sz w:val="24"/>
          <w:szCs w:val="24"/>
        </w:rPr>
      </w:pPr>
      <w:r>
        <w:rPr>
          <w:rFonts w:ascii="Arial" w:hAnsi="Arial" w:cs="Arial"/>
          <w:sz w:val="24"/>
          <w:szCs w:val="24"/>
        </w:rPr>
        <w:t>Desafíos de la fiscalización.</w:t>
      </w:r>
    </w:p>
    <w:p w14:paraId="1B21A090" w14:textId="77777777" w:rsidR="00F669A9" w:rsidRPr="00F669A9" w:rsidRDefault="00FC0B5B" w:rsidP="00FC0B5B">
      <w:pPr>
        <w:pStyle w:val="Prrafodelista"/>
        <w:numPr>
          <w:ilvl w:val="1"/>
          <w:numId w:val="11"/>
        </w:numPr>
        <w:spacing w:line="360" w:lineRule="auto"/>
        <w:rPr>
          <w:rFonts w:ascii="Arial" w:hAnsi="Arial" w:cs="Arial"/>
          <w:sz w:val="24"/>
          <w:szCs w:val="24"/>
        </w:rPr>
      </w:pPr>
      <w:r>
        <w:rPr>
          <w:rFonts w:ascii="Arial" w:hAnsi="Arial" w:cs="Arial"/>
          <w:sz w:val="24"/>
          <w:szCs w:val="24"/>
        </w:rPr>
        <w:t>Aspectos a considerar para la debida integración de documentos comprobatorios del ejercicio de los recursos.</w:t>
      </w:r>
      <w:r w:rsidR="00F669A9" w:rsidRPr="00F669A9">
        <w:rPr>
          <w:rFonts w:ascii="Arial" w:hAnsi="Arial" w:cs="Arial"/>
          <w:sz w:val="24"/>
          <w:szCs w:val="24"/>
        </w:rPr>
        <w:t xml:space="preserve"> </w:t>
      </w:r>
    </w:p>
    <w:p w14:paraId="74198276" w14:textId="77777777" w:rsidR="00F669A9" w:rsidRPr="00F669A9" w:rsidRDefault="00F669A9" w:rsidP="009E2BA6">
      <w:pPr>
        <w:pStyle w:val="Prrafodelista"/>
        <w:spacing w:after="0" w:line="276" w:lineRule="auto"/>
        <w:rPr>
          <w:rFonts w:ascii="Arial" w:hAnsi="Arial" w:cs="Arial"/>
          <w:sz w:val="24"/>
          <w:szCs w:val="24"/>
        </w:rPr>
      </w:pPr>
    </w:p>
    <w:p w14:paraId="11AED405" w14:textId="77777777" w:rsidR="00FC0B5B" w:rsidRPr="00FC0B5B" w:rsidRDefault="00FC0B5B" w:rsidP="00FC0B5B">
      <w:pPr>
        <w:jc w:val="both"/>
        <w:rPr>
          <w:rFonts w:ascii="Arial" w:hAnsi="Arial" w:cs="Arial"/>
          <w:b/>
          <w:sz w:val="24"/>
          <w:szCs w:val="24"/>
        </w:rPr>
      </w:pPr>
      <w:r w:rsidRPr="00FC0B5B">
        <w:rPr>
          <w:rFonts w:ascii="Arial" w:hAnsi="Arial" w:cs="Arial"/>
          <w:b/>
          <w:sz w:val="24"/>
          <w:szCs w:val="24"/>
        </w:rPr>
        <w:t>Tema 2. Acciones preventivas.</w:t>
      </w:r>
    </w:p>
    <w:p w14:paraId="7B086DB3" w14:textId="77777777" w:rsidR="00F669A9" w:rsidRPr="00F669A9" w:rsidRDefault="00F669A9" w:rsidP="009E2BA6">
      <w:pPr>
        <w:pStyle w:val="Prrafodelista"/>
        <w:spacing w:line="276" w:lineRule="auto"/>
        <w:rPr>
          <w:rFonts w:ascii="Arial" w:hAnsi="Arial" w:cs="Arial"/>
          <w:sz w:val="24"/>
          <w:szCs w:val="24"/>
        </w:rPr>
      </w:pPr>
    </w:p>
    <w:p w14:paraId="0D655A7A" w14:textId="77777777" w:rsidR="00FC0B5B" w:rsidRPr="00FC0B5B" w:rsidRDefault="00FC0B5B" w:rsidP="00FC0B5B">
      <w:pPr>
        <w:pStyle w:val="Prrafodelista"/>
        <w:numPr>
          <w:ilvl w:val="0"/>
          <w:numId w:val="18"/>
        </w:numPr>
        <w:spacing w:line="360" w:lineRule="auto"/>
        <w:rPr>
          <w:rFonts w:ascii="Arial" w:hAnsi="Arial" w:cs="Arial"/>
          <w:vanish/>
          <w:sz w:val="24"/>
          <w:szCs w:val="24"/>
        </w:rPr>
      </w:pPr>
    </w:p>
    <w:p w14:paraId="044CA3E9" w14:textId="77777777" w:rsidR="00FC0B5B" w:rsidRPr="00FC0B5B" w:rsidRDefault="00FC0B5B" w:rsidP="00FC0B5B">
      <w:pPr>
        <w:pStyle w:val="Prrafodelista"/>
        <w:numPr>
          <w:ilvl w:val="0"/>
          <w:numId w:val="18"/>
        </w:numPr>
        <w:spacing w:line="360" w:lineRule="auto"/>
        <w:rPr>
          <w:rFonts w:ascii="Arial" w:hAnsi="Arial" w:cs="Arial"/>
          <w:vanish/>
          <w:sz w:val="24"/>
          <w:szCs w:val="24"/>
        </w:rPr>
      </w:pPr>
    </w:p>
    <w:p w14:paraId="0B38CDDB" w14:textId="77777777" w:rsidR="00F669A9" w:rsidRPr="00F669A9" w:rsidRDefault="00FC0B5B" w:rsidP="00FC0B5B">
      <w:pPr>
        <w:pStyle w:val="Prrafodelista"/>
        <w:numPr>
          <w:ilvl w:val="1"/>
          <w:numId w:val="18"/>
        </w:numPr>
        <w:spacing w:line="360" w:lineRule="auto"/>
        <w:rPr>
          <w:rFonts w:ascii="Arial" w:hAnsi="Arial" w:cs="Arial"/>
          <w:sz w:val="24"/>
          <w:szCs w:val="24"/>
        </w:rPr>
      </w:pPr>
      <w:r>
        <w:rPr>
          <w:rFonts w:ascii="Arial" w:hAnsi="Arial" w:cs="Arial"/>
          <w:sz w:val="24"/>
          <w:szCs w:val="24"/>
        </w:rPr>
        <w:t>Introducción.</w:t>
      </w:r>
    </w:p>
    <w:p w14:paraId="1D3E047B" w14:textId="77777777" w:rsidR="00F669A9" w:rsidRDefault="00FC0B5B" w:rsidP="00FC0B5B">
      <w:pPr>
        <w:pStyle w:val="Prrafodelista"/>
        <w:numPr>
          <w:ilvl w:val="1"/>
          <w:numId w:val="18"/>
        </w:numPr>
        <w:spacing w:line="360" w:lineRule="auto"/>
        <w:rPr>
          <w:rFonts w:ascii="Arial" w:hAnsi="Arial" w:cs="Arial"/>
          <w:sz w:val="24"/>
          <w:szCs w:val="24"/>
        </w:rPr>
      </w:pPr>
      <w:r>
        <w:rPr>
          <w:rFonts w:ascii="Arial" w:hAnsi="Arial" w:cs="Arial"/>
          <w:sz w:val="24"/>
          <w:szCs w:val="24"/>
        </w:rPr>
        <w:t>Acciones preventivas.</w:t>
      </w:r>
    </w:p>
    <w:p w14:paraId="6F3EA5D1" w14:textId="77777777" w:rsidR="00FC0B5B" w:rsidRDefault="00FC0B5B" w:rsidP="00FC0B5B">
      <w:pPr>
        <w:spacing w:line="360" w:lineRule="auto"/>
        <w:rPr>
          <w:rFonts w:ascii="Arial" w:hAnsi="Arial" w:cs="Arial"/>
          <w:sz w:val="24"/>
          <w:szCs w:val="24"/>
        </w:rPr>
      </w:pPr>
    </w:p>
    <w:p w14:paraId="516C3989" w14:textId="77777777" w:rsidR="00FC0B5B" w:rsidRDefault="00FC0B5B" w:rsidP="00FC0B5B">
      <w:pPr>
        <w:spacing w:line="360" w:lineRule="auto"/>
        <w:rPr>
          <w:rFonts w:ascii="Arial" w:hAnsi="Arial" w:cs="Arial"/>
          <w:sz w:val="24"/>
          <w:szCs w:val="24"/>
        </w:rPr>
      </w:pPr>
    </w:p>
    <w:p w14:paraId="3FE82B4A" w14:textId="77777777" w:rsidR="00FC0B5B" w:rsidRDefault="00FC0B5B" w:rsidP="00FC0B5B">
      <w:pPr>
        <w:spacing w:line="360" w:lineRule="auto"/>
        <w:rPr>
          <w:rFonts w:ascii="Arial" w:hAnsi="Arial" w:cs="Arial"/>
          <w:sz w:val="24"/>
          <w:szCs w:val="24"/>
        </w:rPr>
      </w:pPr>
    </w:p>
    <w:p w14:paraId="48D18CA6" w14:textId="77777777" w:rsidR="00FC0B5B" w:rsidRDefault="00FC0B5B" w:rsidP="00FC0B5B">
      <w:pPr>
        <w:spacing w:line="360" w:lineRule="auto"/>
        <w:rPr>
          <w:rFonts w:ascii="Arial" w:hAnsi="Arial" w:cs="Arial"/>
          <w:sz w:val="24"/>
          <w:szCs w:val="24"/>
        </w:rPr>
      </w:pPr>
    </w:p>
    <w:p w14:paraId="2A0DA32F" w14:textId="77777777" w:rsidR="00FC0B5B" w:rsidRDefault="00FC0B5B" w:rsidP="00FC0B5B">
      <w:pPr>
        <w:spacing w:line="360" w:lineRule="auto"/>
        <w:rPr>
          <w:rFonts w:ascii="Arial" w:hAnsi="Arial" w:cs="Arial"/>
          <w:sz w:val="24"/>
          <w:szCs w:val="24"/>
        </w:rPr>
      </w:pPr>
    </w:p>
    <w:p w14:paraId="683A049C" w14:textId="77777777" w:rsidR="00FC0B5B" w:rsidRDefault="00FC0B5B" w:rsidP="00FC0B5B">
      <w:pPr>
        <w:spacing w:line="360" w:lineRule="auto"/>
        <w:rPr>
          <w:rFonts w:ascii="Arial" w:hAnsi="Arial" w:cs="Arial"/>
          <w:sz w:val="24"/>
          <w:szCs w:val="24"/>
        </w:rPr>
      </w:pPr>
    </w:p>
    <w:p w14:paraId="14CFB9E7" w14:textId="77777777" w:rsidR="00FC0B5B" w:rsidRDefault="00FC0B5B" w:rsidP="00FC0B5B">
      <w:pPr>
        <w:spacing w:line="360" w:lineRule="auto"/>
        <w:rPr>
          <w:rFonts w:ascii="Arial" w:hAnsi="Arial" w:cs="Arial"/>
          <w:sz w:val="24"/>
          <w:szCs w:val="24"/>
        </w:rPr>
      </w:pPr>
    </w:p>
    <w:p w14:paraId="001B959C" w14:textId="77777777" w:rsidR="00FC0B5B" w:rsidRDefault="00FC0B5B" w:rsidP="00FC0B5B">
      <w:pPr>
        <w:spacing w:line="360" w:lineRule="auto"/>
        <w:rPr>
          <w:rFonts w:ascii="Arial" w:hAnsi="Arial" w:cs="Arial"/>
          <w:sz w:val="24"/>
          <w:szCs w:val="24"/>
        </w:rPr>
      </w:pPr>
    </w:p>
    <w:p w14:paraId="3D47281C" w14:textId="77777777" w:rsidR="00FC0B5B" w:rsidRPr="00FC0B5B" w:rsidRDefault="00FC0B5B" w:rsidP="00FC0B5B">
      <w:pPr>
        <w:jc w:val="both"/>
        <w:rPr>
          <w:rFonts w:ascii="Arial" w:hAnsi="Arial" w:cs="Arial"/>
          <w:b/>
          <w:sz w:val="24"/>
          <w:szCs w:val="24"/>
        </w:rPr>
      </w:pPr>
      <w:r w:rsidRPr="00FC0B5B">
        <w:rPr>
          <w:rFonts w:ascii="Arial" w:hAnsi="Arial" w:cs="Arial"/>
          <w:b/>
          <w:sz w:val="24"/>
          <w:szCs w:val="24"/>
        </w:rPr>
        <w:lastRenderedPageBreak/>
        <w:t>Tema 1. Metodología para la comprobación e integración de los expedientes.</w:t>
      </w:r>
    </w:p>
    <w:p w14:paraId="6DDA9AFA" w14:textId="77777777" w:rsidR="00FC0B5B" w:rsidRPr="00FC0B5B" w:rsidRDefault="00FC0B5B" w:rsidP="00FC0B5B">
      <w:pPr>
        <w:spacing w:line="360" w:lineRule="auto"/>
        <w:rPr>
          <w:rFonts w:ascii="Arial" w:hAnsi="Arial" w:cs="Arial"/>
          <w:sz w:val="24"/>
          <w:szCs w:val="24"/>
        </w:rPr>
      </w:pPr>
    </w:p>
    <w:p w14:paraId="76786B1E" w14:textId="77777777" w:rsidR="00F669A9" w:rsidRPr="00F669A9" w:rsidRDefault="00FC0B5B" w:rsidP="00FC0B5B">
      <w:pPr>
        <w:pStyle w:val="Prrafodelista"/>
        <w:numPr>
          <w:ilvl w:val="1"/>
          <w:numId w:val="12"/>
        </w:numPr>
        <w:jc w:val="both"/>
        <w:rPr>
          <w:rFonts w:ascii="Arial" w:hAnsi="Arial" w:cs="Arial"/>
          <w:b/>
          <w:bCs/>
          <w:sz w:val="24"/>
          <w:szCs w:val="24"/>
        </w:rPr>
      </w:pPr>
      <w:r>
        <w:rPr>
          <w:rFonts w:ascii="Arial" w:hAnsi="Arial" w:cs="Arial"/>
          <w:b/>
          <w:bCs/>
          <w:sz w:val="24"/>
          <w:szCs w:val="24"/>
        </w:rPr>
        <w:t>Introducción</w:t>
      </w:r>
    </w:p>
    <w:p w14:paraId="04B2594F" w14:textId="77777777" w:rsidR="00F669A9" w:rsidRPr="00F669A9" w:rsidRDefault="00F669A9" w:rsidP="00F669A9">
      <w:pPr>
        <w:rPr>
          <w:rFonts w:ascii="Arial" w:hAnsi="Arial" w:cs="Arial"/>
          <w:sz w:val="24"/>
          <w:szCs w:val="24"/>
        </w:rPr>
      </w:pPr>
    </w:p>
    <w:p w14:paraId="4918E578" w14:textId="619078D4" w:rsidR="00FC0B5B" w:rsidRPr="00CB2BA0" w:rsidRDefault="00FC0B5B" w:rsidP="00FC0B5B">
      <w:pPr>
        <w:jc w:val="both"/>
        <w:rPr>
          <w:rFonts w:ascii="Arial" w:hAnsi="Arial" w:cs="Arial"/>
          <w:sz w:val="24"/>
          <w:szCs w:val="24"/>
        </w:rPr>
      </w:pPr>
      <w:r w:rsidRPr="00CB2BA0">
        <w:rPr>
          <w:rFonts w:ascii="Arial" w:hAnsi="Arial" w:cs="Arial"/>
          <w:sz w:val="24"/>
          <w:szCs w:val="24"/>
        </w:rPr>
        <w:t>La Comisión Permanente de Contralores Estados Federación, a través de la Región Sureste integrada por los Estados de Campeche, Chiapas, Quintana Roo, Tabasco y Yucatán, estableció en su Plan Anual de Trabajo 2020, el desarrollo de la Línea de Acción I: “Pla</w:t>
      </w:r>
      <w:r>
        <w:rPr>
          <w:rFonts w:ascii="Arial" w:hAnsi="Arial" w:cs="Arial"/>
          <w:sz w:val="24"/>
          <w:szCs w:val="24"/>
        </w:rPr>
        <w:t>neación de Auditorí</w:t>
      </w:r>
      <w:r w:rsidRPr="00CB2BA0">
        <w:rPr>
          <w:rFonts w:ascii="Arial" w:hAnsi="Arial" w:cs="Arial"/>
          <w:sz w:val="24"/>
          <w:szCs w:val="24"/>
        </w:rPr>
        <w:t xml:space="preserve">as”, Proyecto 2.- Acciones de apoyo para la revisión del ejercicio de recursos públicos federales. Éste último proyecto, en su actividad específica número 2.1 Elaborar de manera coordinada con la </w:t>
      </w:r>
      <w:r w:rsidR="00F55BEB">
        <w:rPr>
          <w:rFonts w:ascii="Arial" w:hAnsi="Arial" w:cs="Arial"/>
          <w:sz w:val="24"/>
          <w:szCs w:val="24"/>
        </w:rPr>
        <w:t>SABG</w:t>
      </w:r>
      <w:r w:rsidRPr="00CB2BA0">
        <w:rPr>
          <w:rFonts w:ascii="Arial" w:hAnsi="Arial" w:cs="Arial"/>
          <w:sz w:val="24"/>
          <w:szCs w:val="24"/>
        </w:rPr>
        <w:t xml:space="preserve">, una guía de actuación para ejecutores de fondos federales, con la metodología para la comprobación e integración de los expedientes, encomendó la tarea a la Región de elaborar la citada guía, el cual busca en esencia poner a disposición de los ejecutores las observaciones más recurrentes a los fondos y programas, para que derivado de ellas se consideren las acciones necesarias para prevenir, y en su caso, solventar de manera oportuna las recomendaciones realizadas en las auditorías de que fueron objeto. </w:t>
      </w:r>
    </w:p>
    <w:p w14:paraId="5B280828" w14:textId="77777777" w:rsidR="00FC0B5B" w:rsidRPr="00CB2BA0" w:rsidRDefault="00FC0B5B" w:rsidP="00FC0B5B">
      <w:pPr>
        <w:jc w:val="both"/>
        <w:rPr>
          <w:rFonts w:ascii="Arial" w:hAnsi="Arial" w:cs="Arial"/>
          <w:sz w:val="24"/>
          <w:szCs w:val="24"/>
        </w:rPr>
      </w:pPr>
    </w:p>
    <w:p w14:paraId="29CDBF06" w14:textId="77777777" w:rsidR="00FC0B5B" w:rsidRPr="00FC0B5B" w:rsidRDefault="00FC0B5B" w:rsidP="00FC0B5B">
      <w:pPr>
        <w:pStyle w:val="Prrafodelista"/>
        <w:numPr>
          <w:ilvl w:val="1"/>
          <w:numId w:val="19"/>
        </w:numPr>
        <w:jc w:val="both"/>
        <w:rPr>
          <w:rFonts w:ascii="Arial" w:hAnsi="Arial" w:cs="Arial"/>
          <w:b/>
          <w:sz w:val="24"/>
          <w:szCs w:val="24"/>
        </w:rPr>
      </w:pPr>
      <w:r w:rsidRPr="00FC0B5B">
        <w:rPr>
          <w:rFonts w:ascii="Arial" w:hAnsi="Arial" w:cs="Arial"/>
          <w:b/>
          <w:sz w:val="24"/>
          <w:szCs w:val="24"/>
        </w:rPr>
        <w:t>Observaciones recurrentes</w:t>
      </w:r>
    </w:p>
    <w:p w14:paraId="55261083" w14:textId="77777777" w:rsidR="00FC0B5B" w:rsidRPr="00CB2BA0" w:rsidRDefault="00FC0B5B" w:rsidP="00FC0B5B">
      <w:pPr>
        <w:jc w:val="both"/>
        <w:rPr>
          <w:rFonts w:ascii="Arial" w:hAnsi="Arial" w:cs="Arial"/>
          <w:sz w:val="24"/>
          <w:szCs w:val="24"/>
        </w:rPr>
      </w:pPr>
    </w:p>
    <w:p w14:paraId="3054486F"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La detección de observaciones se realizó con el apoyo de los 32 Órganos Estatales de Control (OEC), a los cuales se les solicitó durante los meses de abril y mayo de 2019 vía oficio</w:t>
      </w:r>
      <w:r>
        <w:rPr>
          <w:rFonts w:ascii="Arial" w:hAnsi="Arial" w:cs="Arial"/>
          <w:sz w:val="24"/>
          <w:szCs w:val="24"/>
        </w:rPr>
        <w:t>, el llenado de la “Cé</w:t>
      </w:r>
      <w:r w:rsidRPr="00CB2BA0">
        <w:rPr>
          <w:rFonts w:ascii="Arial" w:hAnsi="Arial" w:cs="Arial"/>
          <w:sz w:val="24"/>
          <w:szCs w:val="24"/>
        </w:rPr>
        <w:t>dula para identificación de observaciones recurrentes a los fondos y programas federales” con el objetivo de identificar las observaciones recurrentes reportadas en los ejercicios 2017 y 2018.</w:t>
      </w:r>
    </w:p>
    <w:p w14:paraId="2C6B91CF" w14:textId="77777777" w:rsidR="00FC0B5B" w:rsidRDefault="00FC0B5B" w:rsidP="00FC0B5B">
      <w:pPr>
        <w:jc w:val="both"/>
        <w:rPr>
          <w:rFonts w:ascii="Arial" w:hAnsi="Arial" w:cs="Arial"/>
          <w:sz w:val="24"/>
          <w:szCs w:val="24"/>
        </w:rPr>
      </w:pPr>
      <w:r w:rsidRPr="00CB2BA0">
        <w:rPr>
          <w:rFonts w:ascii="Arial" w:hAnsi="Arial" w:cs="Arial"/>
          <w:sz w:val="24"/>
          <w:szCs w:val="24"/>
        </w:rPr>
        <w:t xml:space="preserve">Al respecto, se recabaron 364 observaciones derivadas de la fiscalización de los ejercicios 2017 y 2018, correspondientes a los siguientes fondos y programas: </w:t>
      </w:r>
    </w:p>
    <w:p w14:paraId="35C5709E" w14:textId="77777777" w:rsidR="00FC0B5B" w:rsidRPr="00CB2BA0" w:rsidRDefault="00FC0B5B" w:rsidP="00FC0B5B">
      <w:pPr>
        <w:jc w:val="both"/>
        <w:rPr>
          <w:rFonts w:ascii="Arial" w:hAnsi="Arial" w:cs="Arial"/>
          <w:sz w:val="24"/>
          <w:szCs w:val="24"/>
        </w:rPr>
      </w:pPr>
    </w:p>
    <w:p w14:paraId="727E1CA3" w14:textId="77777777" w:rsidR="00FC0B5B" w:rsidRPr="00FC0B5B" w:rsidRDefault="00FC0B5B" w:rsidP="00FC0B5B">
      <w:pPr>
        <w:ind w:left="426"/>
        <w:jc w:val="both"/>
        <w:rPr>
          <w:rFonts w:ascii="Arial" w:hAnsi="Arial" w:cs="Arial"/>
          <w:sz w:val="20"/>
          <w:szCs w:val="20"/>
        </w:rPr>
      </w:pPr>
      <w:r w:rsidRPr="00FC0B5B">
        <w:rPr>
          <w:rFonts w:ascii="Arial" w:hAnsi="Arial" w:cs="Arial"/>
          <w:sz w:val="20"/>
          <w:szCs w:val="20"/>
        </w:rPr>
        <w:t xml:space="preserve">• Fondo de Aportaciones para el Fortalecimiento de las Entidades Federativas (FAFEF) </w:t>
      </w:r>
    </w:p>
    <w:p w14:paraId="6B1D7EBE" w14:textId="77777777" w:rsidR="00FC0B5B" w:rsidRPr="00FC0B5B" w:rsidRDefault="00FC0B5B" w:rsidP="00FC0B5B">
      <w:pPr>
        <w:ind w:left="426"/>
        <w:jc w:val="both"/>
        <w:rPr>
          <w:rFonts w:ascii="Arial" w:hAnsi="Arial" w:cs="Arial"/>
          <w:sz w:val="20"/>
          <w:szCs w:val="20"/>
        </w:rPr>
      </w:pPr>
      <w:r w:rsidRPr="00FC0B5B">
        <w:rPr>
          <w:rFonts w:ascii="Arial" w:hAnsi="Arial" w:cs="Arial"/>
          <w:sz w:val="20"/>
          <w:szCs w:val="20"/>
        </w:rPr>
        <w:t xml:space="preserve">• Fondo de Aportaciones para la Nómina Educativa y Gasto Operativo (FONE) </w:t>
      </w:r>
    </w:p>
    <w:p w14:paraId="65941DA8" w14:textId="77777777" w:rsidR="00FC0B5B" w:rsidRPr="00FC0B5B" w:rsidRDefault="00FC0B5B" w:rsidP="00FC0B5B">
      <w:pPr>
        <w:ind w:left="426"/>
        <w:jc w:val="both"/>
        <w:rPr>
          <w:rFonts w:ascii="Arial" w:hAnsi="Arial" w:cs="Arial"/>
          <w:sz w:val="20"/>
          <w:szCs w:val="20"/>
        </w:rPr>
      </w:pPr>
      <w:r w:rsidRPr="00FC0B5B">
        <w:rPr>
          <w:rFonts w:ascii="Arial" w:hAnsi="Arial" w:cs="Arial"/>
          <w:sz w:val="20"/>
          <w:szCs w:val="20"/>
        </w:rPr>
        <w:t xml:space="preserve">• Subsidio para el Fortalecimiento del desempeño en materia de Seguridad Pública (FORTASEG) </w:t>
      </w:r>
    </w:p>
    <w:p w14:paraId="7E429FC0" w14:textId="77777777" w:rsidR="00FC0B5B" w:rsidRPr="00FC0B5B" w:rsidRDefault="00FC0B5B" w:rsidP="00FC0B5B">
      <w:pPr>
        <w:ind w:left="426"/>
        <w:jc w:val="both"/>
        <w:rPr>
          <w:rFonts w:ascii="Arial" w:hAnsi="Arial" w:cs="Arial"/>
          <w:sz w:val="20"/>
          <w:szCs w:val="20"/>
        </w:rPr>
      </w:pPr>
      <w:r w:rsidRPr="00FC0B5B">
        <w:rPr>
          <w:rFonts w:ascii="Arial" w:hAnsi="Arial" w:cs="Arial"/>
          <w:sz w:val="20"/>
          <w:szCs w:val="20"/>
        </w:rPr>
        <w:t xml:space="preserve">• Fondo de Aportaciones para los Servicios de Salud (FASSA) </w:t>
      </w:r>
    </w:p>
    <w:p w14:paraId="5CF79444" w14:textId="77777777" w:rsidR="00FC0B5B" w:rsidRPr="00CB2BA0" w:rsidRDefault="00FC0B5B" w:rsidP="00FC0B5B">
      <w:pPr>
        <w:ind w:left="426"/>
        <w:jc w:val="both"/>
        <w:rPr>
          <w:rFonts w:ascii="Arial" w:hAnsi="Arial" w:cs="Arial"/>
          <w:sz w:val="24"/>
          <w:szCs w:val="24"/>
        </w:rPr>
      </w:pPr>
      <w:r w:rsidRPr="00FC0B5B">
        <w:rPr>
          <w:rFonts w:ascii="Arial" w:hAnsi="Arial" w:cs="Arial"/>
          <w:sz w:val="20"/>
          <w:szCs w:val="20"/>
        </w:rPr>
        <w:t>• Participaciones Federales a Entidades Federativas.</w:t>
      </w:r>
    </w:p>
    <w:p w14:paraId="20FFD6F0" w14:textId="77777777" w:rsidR="00FC0B5B" w:rsidRPr="00CB2BA0" w:rsidRDefault="00FC0B5B" w:rsidP="00FC0B5B">
      <w:pPr>
        <w:jc w:val="both"/>
        <w:rPr>
          <w:rFonts w:ascii="Arial" w:hAnsi="Arial" w:cs="Arial"/>
          <w:sz w:val="24"/>
          <w:szCs w:val="24"/>
        </w:rPr>
      </w:pPr>
    </w:p>
    <w:p w14:paraId="11E56DB0"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lastRenderedPageBreak/>
        <w:t>Las observaciones de los fondos y programas obtenidas de la participación de los OEC, clasificados por revisión del ejercicio se representan en la siguiente tabla:</w:t>
      </w:r>
    </w:p>
    <w:p w14:paraId="29ADAAC4" w14:textId="77777777" w:rsidR="00FC0B5B" w:rsidRPr="00CB2BA0" w:rsidRDefault="00FC0B5B" w:rsidP="00FC0B5B">
      <w:pPr>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2207"/>
        <w:gridCol w:w="1049"/>
        <w:gridCol w:w="992"/>
        <w:gridCol w:w="1417"/>
      </w:tblGrid>
      <w:tr w:rsidR="00FC0B5B" w:rsidRPr="00CB2BA0" w14:paraId="5F04C232" w14:textId="77777777" w:rsidTr="00CD7A7B">
        <w:trPr>
          <w:jc w:val="center"/>
        </w:trPr>
        <w:tc>
          <w:tcPr>
            <w:tcW w:w="2207" w:type="dxa"/>
            <w:shd w:val="clear" w:color="auto" w:fill="BDD6EE" w:themeFill="accent1" w:themeFillTint="66"/>
            <w:vAlign w:val="center"/>
          </w:tcPr>
          <w:p w14:paraId="067CF307"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Fondo o Programa</w:t>
            </w:r>
          </w:p>
        </w:tc>
        <w:tc>
          <w:tcPr>
            <w:tcW w:w="1049" w:type="dxa"/>
            <w:shd w:val="clear" w:color="auto" w:fill="BDD6EE" w:themeFill="accent1" w:themeFillTint="66"/>
            <w:vAlign w:val="center"/>
          </w:tcPr>
          <w:p w14:paraId="02841483"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2017</w:t>
            </w:r>
          </w:p>
        </w:tc>
        <w:tc>
          <w:tcPr>
            <w:tcW w:w="992" w:type="dxa"/>
            <w:shd w:val="clear" w:color="auto" w:fill="BDD6EE" w:themeFill="accent1" w:themeFillTint="66"/>
            <w:vAlign w:val="center"/>
          </w:tcPr>
          <w:p w14:paraId="20138536"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2018</w:t>
            </w:r>
          </w:p>
        </w:tc>
        <w:tc>
          <w:tcPr>
            <w:tcW w:w="1417" w:type="dxa"/>
            <w:shd w:val="clear" w:color="auto" w:fill="BDD6EE" w:themeFill="accent1" w:themeFillTint="66"/>
            <w:vAlign w:val="center"/>
          </w:tcPr>
          <w:p w14:paraId="27EA3520" w14:textId="77777777" w:rsidR="00FC0B5B" w:rsidRPr="00CD7A7B" w:rsidRDefault="00FC0B5B" w:rsidP="00FC0B5B">
            <w:pPr>
              <w:jc w:val="center"/>
              <w:rPr>
                <w:rFonts w:ascii="Arial" w:hAnsi="Arial" w:cs="Arial"/>
                <w:b/>
                <w:bCs/>
                <w:sz w:val="20"/>
                <w:szCs w:val="20"/>
              </w:rPr>
            </w:pPr>
            <w:proofErr w:type="gramStart"/>
            <w:r w:rsidRPr="00CD7A7B">
              <w:rPr>
                <w:rFonts w:ascii="Arial" w:hAnsi="Arial" w:cs="Arial"/>
                <w:b/>
                <w:bCs/>
                <w:sz w:val="20"/>
                <w:szCs w:val="20"/>
              </w:rPr>
              <w:t>Total</w:t>
            </w:r>
            <w:proofErr w:type="gramEnd"/>
            <w:r w:rsidRPr="00CD7A7B">
              <w:rPr>
                <w:rFonts w:ascii="Arial" w:hAnsi="Arial" w:cs="Arial"/>
                <w:b/>
                <w:bCs/>
                <w:sz w:val="20"/>
                <w:szCs w:val="20"/>
              </w:rPr>
              <w:t xml:space="preserve"> General</w:t>
            </w:r>
          </w:p>
        </w:tc>
      </w:tr>
      <w:tr w:rsidR="00FC0B5B" w:rsidRPr="00CB2BA0" w14:paraId="68B03674" w14:textId="77777777" w:rsidTr="00CD7A7B">
        <w:trPr>
          <w:jc w:val="center"/>
        </w:trPr>
        <w:tc>
          <w:tcPr>
            <w:tcW w:w="2207" w:type="dxa"/>
            <w:vAlign w:val="center"/>
          </w:tcPr>
          <w:p w14:paraId="549AF37F"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FAFEF</w:t>
            </w:r>
          </w:p>
        </w:tc>
        <w:tc>
          <w:tcPr>
            <w:tcW w:w="1049" w:type="dxa"/>
            <w:vAlign w:val="center"/>
          </w:tcPr>
          <w:p w14:paraId="577C283A"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38</w:t>
            </w:r>
          </w:p>
        </w:tc>
        <w:tc>
          <w:tcPr>
            <w:tcW w:w="992" w:type="dxa"/>
            <w:vAlign w:val="center"/>
          </w:tcPr>
          <w:p w14:paraId="512011C9"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36</w:t>
            </w:r>
          </w:p>
        </w:tc>
        <w:tc>
          <w:tcPr>
            <w:tcW w:w="1417" w:type="dxa"/>
            <w:vAlign w:val="center"/>
          </w:tcPr>
          <w:p w14:paraId="56572841"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74</w:t>
            </w:r>
          </w:p>
        </w:tc>
      </w:tr>
      <w:tr w:rsidR="00FC0B5B" w:rsidRPr="00CB2BA0" w14:paraId="46FC7FAC" w14:textId="77777777" w:rsidTr="00CD7A7B">
        <w:trPr>
          <w:jc w:val="center"/>
        </w:trPr>
        <w:tc>
          <w:tcPr>
            <w:tcW w:w="2207" w:type="dxa"/>
            <w:vAlign w:val="center"/>
          </w:tcPr>
          <w:p w14:paraId="4B25EF1C"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FONE</w:t>
            </w:r>
          </w:p>
        </w:tc>
        <w:tc>
          <w:tcPr>
            <w:tcW w:w="1049" w:type="dxa"/>
            <w:vAlign w:val="center"/>
          </w:tcPr>
          <w:p w14:paraId="0952DF64"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48</w:t>
            </w:r>
          </w:p>
        </w:tc>
        <w:tc>
          <w:tcPr>
            <w:tcW w:w="992" w:type="dxa"/>
            <w:vAlign w:val="center"/>
          </w:tcPr>
          <w:p w14:paraId="4B50A71D"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52</w:t>
            </w:r>
          </w:p>
        </w:tc>
        <w:tc>
          <w:tcPr>
            <w:tcW w:w="1417" w:type="dxa"/>
            <w:vAlign w:val="center"/>
          </w:tcPr>
          <w:p w14:paraId="7027EEAE"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100</w:t>
            </w:r>
          </w:p>
        </w:tc>
      </w:tr>
      <w:tr w:rsidR="00FC0B5B" w:rsidRPr="00CB2BA0" w14:paraId="1CCFE1AC" w14:textId="77777777" w:rsidTr="00CD7A7B">
        <w:trPr>
          <w:jc w:val="center"/>
        </w:trPr>
        <w:tc>
          <w:tcPr>
            <w:tcW w:w="2207" w:type="dxa"/>
            <w:vAlign w:val="center"/>
          </w:tcPr>
          <w:p w14:paraId="5FBACA11"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FASSA</w:t>
            </w:r>
          </w:p>
        </w:tc>
        <w:tc>
          <w:tcPr>
            <w:tcW w:w="1049" w:type="dxa"/>
            <w:vAlign w:val="center"/>
          </w:tcPr>
          <w:p w14:paraId="1BE6CD30"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21</w:t>
            </w:r>
          </w:p>
        </w:tc>
        <w:tc>
          <w:tcPr>
            <w:tcW w:w="992" w:type="dxa"/>
            <w:vAlign w:val="center"/>
          </w:tcPr>
          <w:p w14:paraId="005A6A35"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32</w:t>
            </w:r>
          </w:p>
        </w:tc>
        <w:tc>
          <w:tcPr>
            <w:tcW w:w="1417" w:type="dxa"/>
            <w:vAlign w:val="center"/>
          </w:tcPr>
          <w:p w14:paraId="27A91679"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53</w:t>
            </w:r>
          </w:p>
        </w:tc>
      </w:tr>
      <w:tr w:rsidR="00FC0B5B" w:rsidRPr="00CB2BA0" w14:paraId="3047CFBB" w14:textId="77777777" w:rsidTr="00CD7A7B">
        <w:trPr>
          <w:jc w:val="center"/>
        </w:trPr>
        <w:tc>
          <w:tcPr>
            <w:tcW w:w="2207" w:type="dxa"/>
            <w:vAlign w:val="center"/>
          </w:tcPr>
          <w:p w14:paraId="6E1150CF"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Participaciones Federales a Entidades Federativas</w:t>
            </w:r>
          </w:p>
        </w:tc>
        <w:tc>
          <w:tcPr>
            <w:tcW w:w="1049" w:type="dxa"/>
            <w:vAlign w:val="center"/>
          </w:tcPr>
          <w:p w14:paraId="2956006C"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11</w:t>
            </w:r>
          </w:p>
        </w:tc>
        <w:tc>
          <w:tcPr>
            <w:tcW w:w="992" w:type="dxa"/>
            <w:vAlign w:val="center"/>
          </w:tcPr>
          <w:p w14:paraId="635B0660"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22</w:t>
            </w:r>
          </w:p>
        </w:tc>
        <w:tc>
          <w:tcPr>
            <w:tcW w:w="1417" w:type="dxa"/>
            <w:vAlign w:val="center"/>
          </w:tcPr>
          <w:p w14:paraId="3610743B"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33</w:t>
            </w:r>
          </w:p>
        </w:tc>
      </w:tr>
      <w:tr w:rsidR="00FC0B5B" w:rsidRPr="00CB2BA0" w14:paraId="1E8077BD" w14:textId="77777777" w:rsidTr="00CD7A7B">
        <w:trPr>
          <w:jc w:val="center"/>
        </w:trPr>
        <w:tc>
          <w:tcPr>
            <w:tcW w:w="2207" w:type="dxa"/>
            <w:vAlign w:val="center"/>
          </w:tcPr>
          <w:p w14:paraId="4DF8F9AC"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FORTASEG</w:t>
            </w:r>
          </w:p>
        </w:tc>
        <w:tc>
          <w:tcPr>
            <w:tcW w:w="1049" w:type="dxa"/>
            <w:vAlign w:val="center"/>
          </w:tcPr>
          <w:p w14:paraId="638F12ED"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58</w:t>
            </w:r>
          </w:p>
        </w:tc>
        <w:tc>
          <w:tcPr>
            <w:tcW w:w="992" w:type="dxa"/>
            <w:vAlign w:val="center"/>
          </w:tcPr>
          <w:p w14:paraId="02D5E6F7" w14:textId="77777777" w:rsidR="00FC0B5B" w:rsidRPr="00CD7A7B" w:rsidRDefault="00FC0B5B" w:rsidP="00FC0B5B">
            <w:pPr>
              <w:jc w:val="center"/>
              <w:rPr>
                <w:rFonts w:ascii="Arial" w:hAnsi="Arial" w:cs="Arial"/>
                <w:sz w:val="20"/>
                <w:szCs w:val="20"/>
              </w:rPr>
            </w:pPr>
            <w:r w:rsidRPr="00CD7A7B">
              <w:rPr>
                <w:rFonts w:ascii="Arial" w:hAnsi="Arial" w:cs="Arial"/>
                <w:sz w:val="20"/>
                <w:szCs w:val="20"/>
              </w:rPr>
              <w:t>46</w:t>
            </w:r>
          </w:p>
        </w:tc>
        <w:tc>
          <w:tcPr>
            <w:tcW w:w="1417" w:type="dxa"/>
            <w:vAlign w:val="center"/>
          </w:tcPr>
          <w:p w14:paraId="630A558A"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104</w:t>
            </w:r>
          </w:p>
        </w:tc>
      </w:tr>
      <w:tr w:rsidR="00FC0B5B" w:rsidRPr="00CB2BA0" w14:paraId="2325C260" w14:textId="77777777" w:rsidTr="00CD7A7B">
        <w:trPr>
          <w:jc w:val="center"/>
        </w:trPr>
        <w:tc>
          <w:tcPr>
            <w:tcW w:w="2207" w:type="dxa"/>
            <w:vAlign w:val="center"/>
          </w:tcPr>
          <w:p w14:paraId="417E47A8" w14:textId="77777777" w:rsidR="00FC0B5B" w:rsidRPr="00CD7A7B" w:rsidRDefault="00FC0B5B" w:rsidP="00CD7A7B">
            <w:pPr>
              <w:jc w:val="center"/>
              <w:rPr>
                <w:rFonts w:ascii="Arial" w:hAnsi="Arial" w:cs="Arial"/>
                <w:b/>
                <w:bCs/>
                <w:sz w:val="20"/>
                <w:szCs w:val="20"/>
              </w:rPr>
            </w:pPr>
            <w:proofErr w:type="gramStart"/>
            <w:r w:rsidRPr="00CD7A7B">
              <w:rPr>
                <w:rFonts w:ascii="Arial" w:hAnsi="Arial" w:cs="Arial"/>
                <w:b/>
                <w:bCs/>
                <w:sz w:val="20"/>
                <w:szCs w:val="20"/>
              </w:rPr>
              <w:t>Total</w:t>
            </w:r>
            <w:proofErr w:type="gramEnd"/>
            <w:r w:rsidRPr="00CD7A7B">
              <w:rPr>
                <w:rFonts w:ascii="Arial" w:hAnsi="Arial" w:cs="Arial"/>
                <w:b/>
                <w:bCs/>
                <w:sz w:val="20"/>
                <w:szCs w:val="20"/>
              </w:rPr>
              <w:t xml:space="preserve"> General</w:t>
            </w:r>
          </w:p>
        </w:tc>
        <w:tc>
          <w:tcPr>
            <w:tcW w:w="1049" w:type="dxa"/>
            <w:vAlign w:val="center"/>
          </w:tcPr>
          <w:p w14:paraId="248FC223"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176</w:t>
            </w:r>
          </w:p>
        </w:tc>
        <w:tc>
          <w:tcPr>
            <w:tcW w:w="992" w:type="dxa"/>
            <w:vAlign w:val="center"/>
          </w:tcPr>
          <w:p w14:paraId="3A1784D8"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188</w:t>
            </w:r>
          </w:p>
        </w:tc>
        <w:tc>
          <w:tcPr>
            <w:tcW w:w="1417" w:type="dxa"/>
            <w:vAlign w:val="center"/>
          </w:tcPr>
          <w:p w14:paraId="33501AED" w14:textId="77777777" w:rsidR="00FC0B5B" w:rsidRPr="00CD7A7B" w:rsidRDefault="00FC0B5B" w:rsidP="00FC0B5B">
            <w:pPr>
              <w:jc w:val="center"/>
              <w:rPr>
                <w:rFonts w:ascii="Arial" w:hAnsi="Arial" w:cs="Arial"/>
                <w:b/>
                <w:bCs/>
                <w:sz w:val="20"/>
                <w:szCs w:val="20"/>
              </w:rPr>
            </w:pPr>
            <w:r w:rsidRPr="00CD7A7B">
              <w:rPr>
                <w:rFonts w:ascii="Arial" w:hAnsi="Arial" w:cs="Arial"/>
                <w:b/>
                <w:bCs/>
                <w:sz w:val="20"/>
                <w:szCs w:val="20"/>
              </w:rPr>
              <w:t>364</w:t>
            </w:r>
          </w:p>
        </w:tc>
      </w:tr>
    </w:tbl>
    <w:p w14:paraId="7A9EB344" w14:textId="77777777" w:rsidR="00FC0B5B" w:rsidRPr="00CB2BA0" w:rsidRDefault="00FC0B5B" w:rsidP="00FC0B5B">
      <w:pPr>
        <w:jc w:val="both"/>
        <w:rPr>
          <w:rFonts w:ascii="Arial" w:hAnsi="Arial" w:cs="Arial"/>
          <w:sz w:val="24"/>
          <w:szCs w:val="24"/>
        </w:rPr>
      </w:pPr>
    </w:p>
    <w:p w14:paraId="3550221A"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Es importante mencionar que, derivado de este ejercicio se integró un monto observado por un total general de $32,031,968,995.27, adicionalmente se logró comparar el número de observaciones contra el monto observado por fondo o programa, dando como resultado que, no necesariamente el programa con más observaciones es el que representa el mayor monto observado</w:t>
      </w:r>
    </w:p>
    <w:p w14:paraId="5E391696" w14:textId="77777777" w:rsidR="00FC0B5B" w:rsidRPr="00CB2BA0" w:rsidRDefault="00FC0B5B" w:rsidP="00FC0B5B">
      <w:pPr>
        <w:jc w:val="both"/>
        <w:rPr>
          <w:rFonts w:ascii="Arial" w:hAnsi="Arial" w:cs="Arial"/>
          <w:sz w:val="24"/>
          <w:szCs w:val="24"/>
        </w:rPr>
      </w:pPr>
    </w:p>
    <w:tbl>
      <w:tblPr>
        <w:tblW w:w="9169" w:type="dxa"/>
        <w:tblInd w:w="-289" w:type="dxa"/>
        <w:tblCellMar>
          <w:left w:w="70" w:type="dxa"/>
          <w:right w:w="70" w:type="dxa"/>
        </w:tblCellMar>
        <w:tblLook w:val="04A0" w:firstRow="1" w:lastRow="0" w:firstColumn="1" w:lastColumn="0" w:noHBand="0" w:noVBand="1"/>
      </w:tblPr>
      <w:tblGrid>
        <w:gridCol w:w="1277"/>
        <w:gridCol w:w="1628"/>
        <w:gridCol w:w="1230"/>
        <w:gridCol w:w="1230"/>
        <w:gridCol w:w="1230"/>
        <w:gridCol w:w="1114"/>
        <w:gridCol w:w="1460"/>
      </w:tblGrid>
      <w:tr w:rsidR="00CD7A7B" w:rsidRPr="00CB2BA0" w14:paraId="1199F29E" w14:textId="77777777" w:rsidTr="00CD7A7B">
        <w:trPr>
          <w:trHeight w:val="870"/>
        </w:trPr>
        <w:tc>
          <w:tcPr>
            <w:tcW w:w="1277" w:type="dxa"/>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center"/>
            <w:hideMark/>
          </w:tcPr>
          <w:p w14:paraId="4F245BD9" w14:textId="77777777" w:rsidR="00FC0B5B" w:rsidRPr="00FC0B5B" w:rsidRDefault="00FC0B5B" w:rsidP="00FC0B5B">
            <w:pPr>
              <w:spacing w:after="0" w:line="240" w:lineRule="auto"/>
              <w:jc w:val="center"/>
              <w:rPr>
                <w:rFonts w:ascii="Arial" w:eastAsia="Times New Roman" w:hAnsi="Arial" w:cs="Arial"/>
                <w:b/>
                <w:bCs/>
                <w:color w:val="000000"/>
                <w:sz w:val="16"/>
                <w:szCs w:val="16"/>
                <w:lang w:eastAsia="es-MX"/>
              </w:rPr>
            </w:pPr>
            <w:r w:rsidRPr="00FC0B5B">
              <w:rPr>
                <w:rFonts w:ascii="Arial" w:eastAsia="Times New Roman" w:hAnsi="Arial" w:cs="Arial"/>
                <w:b/>
                <w:bCs/>
                <w:color w:val="000000"/>
                <w:sz w:val="16"/>
                <w:szCs w:val="16"/>
                <w:lang w:eastAsia="es-MX"/>
              </w:rPr>
              <w:t>Concepto</w:t>
            </w:r>
          </w:p>
        </w:tc>
        <w:tc>
          <w:tcPr>
            <w:tcW w:w="1628" w:type="dxa"/>
            <w:tcBorders>
              <w:top w:val="single" w:sz="4" w:space="0" w:color="auto"/>
              <w:left w:val="nil"/>
              <w:bottom w:val="single" w:sz="4" w:space="0" w:color="auto"/>
              <w:right w:val="single" w:sz="4" w:space="0" w:color="auto"/>
            </w:tcBorders>
            <w:shd w:val="clear" w:color="auto" w:fill="F7CAAC" w:themeFill="accent2" w:themeFillTint="66"/>
            <w:vAlign w:val="center"/>
            <w:hideMark/>
          </w:tcPr>
          <w:p w14:paraId="40E46820" w14:textId="77777777" w:rsidR="00FC0B5B" w:rsidRPr="00FC0B5B" w:rsidRDefault="00FC0B5B" w:rsidP="00FC0B5B">
            <w:pPr>
              <w:spacing w:after="0" w:line="240" w:lineRule="auto"/>
              <w:jc w:val="center"/>
              <w:rPr>
                <w:rFonts w:ascii="Arial" w:eastAsia="Times New Roman" w:hAnsi="Arial" w:cs="Arial"/>
                <w:b/>
                <w:bCs/>
                <w:color w:val="000000"/>
                <w:sz w:val="16"/>
                <w:szCs w:val="16"/>
                <w:lang w:eastAsia="es-MX"/>
              </w:rPr>
            </w:pPr>
            <w:r w:rsidRPr="00FC0B5B">
              <w:rPr>
                <w:rFonts w:ascii="Arial" w:eastAsia="Times New Roman" w:hAnsi="Arial" w:cs="Arial"/>
                <w:b/>
                <w:bCs/>
                <w:color w:val="000000"/>
                <w:sz w:val="16"/>
                <w:szCs w:val="16"/>
                <w:lang w:eastAsia="es-MX"/>
              </w:rPr>
              <w:t>Participaciones Federales a Entidades Federativas</w:t>
            </w:r>
          </w:p>
        </w:tc>
        <w:tc>
          <w:tcPr>
            <w:tcW w:w="0" w:type="auto"/>
            <w:tcBorders>
              <w:top w:val="single" w:sz="4" w:space="0" w:color="auto"/>
              <w:left w:val="nil"/>
              <w:bottom w:val="single" w:sz="4" w:space="0" w:color="auto"/>
              <w:right w:val="single" w:sz="4" w:space="0" w:color="auto"/>
            </w:tcBorders>
            <w:shd w:val="clear" w:color="auto" w:fill="F7CAAC" w:themeFill="accent2" w:themeFillTint="66"/>
            <w:noWrap/>
            <w:vAlign w:val="center"/>
            <w:hideMark/>
          </w:tcPr>
          <w:p w14:paraId="157B7ABB" w14:textId="77777777" w:rsidR="00FC0B5B" w:rsidRPr="00FC0B5B" w:rsidRDefault="00FC0B5B" w:rsidP="00FC0B5B">
            <w:pPr>
              <w:spacing w:after="0" w:line="240" w:lineRule="auto"/>
              <w:jc w:val="center"/>
              <w:rPr>
                <w:rFonts w:ascii="Arial" w:eastAsia="Times New Roman" w:hAnsi="Arial" w:cs="Arial"/>
                <w:b/>
                <w:bCs/>
                <w:color w:val="000000"/>
                <w:sz w:val="16"/>
                <w:szCs w:val="16"/>
                <w:lang w:eastAsia="es-MX"/>
              </w:rPr>
            </w:pPr>
            <w:r w:rsidRPr="00FC0B5B">
              <w:rPr>
                <w:rFonts w:ascii="Arial" w:eastAsia="Times New Roman" w:hAnsi="Arial" w:cs="Arial"/>
                <w:b/>
                <w:bCs/>
                <w:color w:val="000000"/>
                <w:sz w:val="16"/>
                <w:szCs w:val="16"/>
                <w:lang w:eastAsia="es-MX"/>
              </w:rPr>
              <w:t>FASSA</w:t>
            </w:r>
          </w:p>
        </w:tc>
        <w:tc>
          <w:tcPr>
            <w:tcW w:w="0" w:type="auto"/>
            <w:tcBorders>
              <w:top w:val="single" w:sz="4" w:space="0" w:color="auto"/>
              <w:left w:val="nil"/>
              <w:bottom w:val="single" w:sz="4" w:space="0" w:color="auto"/>
              <w:right w:val="single" w:sz="4" w:space="0" w:color="auto"/>
            </w:tcBorders>
            <w:shd w:val="clear" w:color="auto" w:fill="F7CAAC" w:themeFill="accent2" w:themeFillTint="66"/>
            <w:noWrap/>
            <w:vAlign w:val="center"/>
            <w:hideMark/>
          </w:tcPr>
          <w:p w14:paraId="3D200903" w14:textId="77777777" w:rsidR="00FC0B5B" w:rsidRPr="00FC0B5B" w:rsidRDefault="00FC0B5B" w:rsidP="00FC0B5B">
            <w:pPr>
              <w:spacing w:after="0" w:line="240" w:lineRule="auto"/>
              <w:jc w:val="center"/>
              <w:rPr>
                <w:rFonts w:ascii="Arial" w:eastAsia="Times New Roman" w:hAnsi="Arial" w:cs="Arial"/>
                <w:b/>
                <w:bCs/>
                <w:color w:val="000000"/>
                <w:sz w:val="16"/>
                <w:szCs w:val="16"/>
                <w:lang w:eastAsia="es-MX"/>
              </w:rPr>
            </w:pPr>
            <w:r w:rsidRPr="00FC0B5B">
              <w:rPr>
                <w:rFonts w:ascii="Arial" w:eastAsia="Times New Roman" w:hAnsi="Arial" w:cs="Arial"/>
                <w:b/>
                <w:bCs/>
                <w:color w:val="000000"/>
                <w:sz w:val="16"/>
                <w:szCs w:val="16"/>
                <w:lang w:eastAsia="es-MX"/>
              </w:rPr>
              <w:t>FONE</w:t>
            </w:r>
          </w:p>
        </w:tc>
        <w:tc>
          <w:tcPr>
            <w:tcW w:w="0" w:type="auto"/>
            <w:tcBorders>
              <w:top w:val="single" w:sz="4" w:space="0" w:color="auto"/>
              <w:left w:val="nil"/>
              <w:bottom w:val="single" w:sz="4" w:space="0" w:color="auto"/>
              <w:right w:val="single" w:sz="4" w:space="0" w:color="auto"/>
            </w:tcBorders>
            <w:shd w:val="clear" w:color="auto" w:fill="F7CAAC" w:themeFill="accent2" w:themeFillTint="66"/>
            <w:noWrap/>
            <w:vAlign w:val="center"/>
            <w:hideMark/>
          </w:tcPr>
          <w:p w14:paraId="110690F5" w14:textId="77777777" w:rsidR="00FC0B5B" w:rsidRPr="00FC0B5B" w:rsidRDefault="00FC0B5B" w:rsidP="00FC0B5B">
            <w:pPr>
              <w:spacing w:after="0" w:line="240" w:lineRule="auto"/>
              <w:jc w:val="center"/>
              <w:rPr>
                <w:rFonts w:ascii="Arial" w:eastAsia="Times New Roman" w:hAnsi="Arial" w:cs="Arial"/>
                <w:b/>
                <w:bCs/>
                <w:color w:val="000000"/>
                <w:sz w:val="16"/>
                <w:szCs w:val="16"/>
                <w:lang w:eastAsia="es-MX"/>
              </w:rPr>
            </w:pPr>
            <w:r w:rsidRPr="00FC0B5B">
              <w:rPr>
                <w:rFonts w:ascii="Arial" w:eastAsia="Times New Roman" w:hAnsi="Arial" w:cs="Arial"/>
                <w:b/>
                <w:bCs/>
                <w:color w:val="000000"/>
                <w:sz w:val="16"/>
                <w:szCs w:val="16"/>
                <w:lang w:eastAsia="es-MX"/>
              </w:rPr>
              <w:t>FAFEF</w:t>
            </w:r>
          </w:p>
        </w:tc>
        <w:tc>
          <w:tcPr>
            <w:tcW w:w="0" w:type="auto"/>
            <w:tcBorders>
              <w:top w:val="single" w:sz="4" w:space="0" w:color="auto"/>
              <w:left w:val="nil"/>
              <w:bottom w:val="single" w:sz="4" w:space="0" w:color="auto"/>
              <w:right w:val="single" w:sz="4" w:space="0" w:color="auto"/>
            </w:tcBorders>
            <w:shd w:val="clear" w:color="auto" w:fill="F7CAAC" w:themeFill="accent2" w:themeFillTint="66"/>
            <w:noWrap/>
            <w:vAlign w:val="center"/>
            <w:hideMark/>
          </w:tcPr>
          <w:p w14:paraId="43F3CAD0" w14:textId="77777777" w:rsidR="00FC0B5B" w:rsidRPr="00FC0B5B" w:rsidRDefault="00FC0B5B" w:rsidP="00FC0B5B">
            <w:pPr>
              <w:spacing w:after="0" w:line="240" w:lineRule="auto"/>
              <w:jc w:val="center"/>
              <w:rPr>
                <w:rFonts w:ascii="Arial" w:eastAsia="Times New Roman" w:hAnsi="Arial" w:cs="Arial"/>
                <w:b/>
                <w:bCs/>
                <w:color w:val="000000"/>
                <w:sz w:val="16"/>
                <w:szCs w:val="16"/>
                <w:lang w:eastAsia="es-MX"/>
              </w:rPr>
            </w:pPr>
            <w:r w:rsidRPr="00FC0B5B">
              <w:rPr>
                <w:rFonts w:ascii="Arial" w:eastAsia="Times New Roman" w:hAnsi="Arial" w:cs="Arial"/>
                <w:b/>
                <w:bCs/>
                <w:color w:val="000000"/>
                <w:sz w:val="16"/>
                <w:szCs w:val="16"/>
                <w:lang w:eastAsia="es-MX"/>
              </w:rPr>
              <w:t>FORTASEG</w:t>
            </w:r>
          </w:p>
        </w:tc>
        <w:tc>
          <w:tcPr>
            <w:tcW w:w="1460" w:type="dxa"/>
            <w:tcBorders>
              <w:top w:val="single" w:sz="4" w:space="0" w:color="auto"/>
              <w:left w:val="nil"/>
              <w:bottom w:val="single" w:sz="4" w:space="0" w:color="auto"/>
              <w:right w:val="single" w:sz="4" w:space="0" w:color="auto"/>
            </w:tcBorders>
            <w:shd w:val="clear" w:color="auto" w:fill="F7CAAC" w:themeFill="accent2" w:themeFillTint="66"/>
            <w:noWrap/>
            <w:vAlign w:val="center"/>
            <w:hideMark/>
          </w:tcPr>
          <w:p w14:paraId="7AB87629" w14:textId="77777777" w:rsidR="00FC0B5B" w:rsidRPr="00FC0B5B" w:rsidRDefault="00FC0B5B" w:rsidP="00FC0B5B">
            <w:pPr>
              <w:spacing w:after="0" w:line="240" w:lineRule="auto"/>
              <w:jc w:val="center"/>
              <w:rPr>
                <w:rFonts w:ascii="Arial" w:eastAsia="Times New Roman" w:hAnsi="Arial" w:cs="Arial"/>
                <w:b/>
                <w:bCs/>
                <w:color w:val="000000"/>
                <w:sz w:val="16"/>
                <w:szCs w:val="16"/>
                <w:lang w:eastAsia="es-MX"/>
              </w:rPr>
            </w:pPr>
            <w:proofErr w:type="gramStart"/>
            <w:r w:rsidRPr="00FC0B5B">
              <w:rPr>
                <w:rFonts w:ascii="Arial" w:eastAsia="Times New Roman" w:hAnsi="Arial" w:cs="Arial"/>
                <w:b/>
                <w:bCs/>
                <w:color w:val="000000"/>
                <w:sz w:val="16"/>
                <w:szCs w:val="16"/>
                <w:lang w:eastAsia="es-MX"/>
              </w:rPr>
              <w:t>Total</w:t>
            </w:r>
            <w:proofErr w:type="gramEnd"/>
            <w:r w:rsidRPr="00FC0B5B">
              <w:rPr>
                <w:rFonts w:ascii="Arial" w:eastAsia="Times New Roman" w:hAnsi="Arial" w:cs="Arial"/>
                <w:b/>
                <w:bCs/>
                <w:color w:val="000000"/>
                <w:sz w:val="16"/>
                <w:szCs w:val="16"/>
                <w:lang w:eastAsia="es-MX"/>
              </w:rPr>
              <w:t xml:space="preserve"> General</w:t>
            </w:r>
          </w:p>
        </w:tc>
      </w:tr>
      <w:tr w:rsidR="00CD7A7B" w:rsidRPr="00CB2BA0" w14:paraId="686F008C" w14:textId="77777777" w:rsidTr="00CD7A7B">
        <w:trPr>
          <w:trHeight w:val="300"/>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14:paraId="59FD4447" w14:textId="77777777" w:rsidR="00FC0B5B" w:rsidRPr="00CD7A7B" w:rsidRDefault="00FC0B5B" w:rsidP="00CD7A7B">
            <w:pPr>
              <w:spacing w:after="0" w:line="240" w:lineRule="auto"/>
              <w:jc w:val="center"/>
              <w:rPr>
                <w:rFonts w:ascii="Arial" w:eastAsia="Times New Roman" w:hAnsi="Arial" w:cs="Arial"/>
                <w:color w:val="000000"/>
                <w:sz w:val="16"/>
                <w:szCs w:val="16"/>
                <w:lang w:eastAsia="es-MX"/>
              </w:rPr>
            </w:pPr>
            <w:r w:rsidRPr="00CD7A7B">
              <w:rPr>
                <w:rFonts w:ascii="Arial" w:eastAsia="Times New Roman" w:hAnsi="Arial" w:cs="Arial"/>
                <w:color w:val="000000"/>
                <w:sz w:val="16"/>
                <w:szCs w:val="16"/>
                <w:lang w:eastAsia="es-MX"/>
              </w:rPr>
              <w:t>Observaciones</w:t>
            </w:r>
          </w:p>
        </w:tc>
        <w:tc>
          <w:tcPr>
            <w:tcW w:w="1628" w:type="dxa"/>
            <w:tcBorders>
              <w:top w:val="nil"/>
              <w:left w:val="nil"/>
              <w:bottom w:val="single" w:sz="4" w:space="0" w:color="auto"/>
              <w:right w:val="single" w:sz="4" w:space="0" w:color="auto"/>
            </w:tcBorders>
            <w:shd w:val="clear" w:color="auto" w:fill="auto"/>
            <w:noWrap/>
            <w:vAlign w:val="center"/>
            <w:hideMark/>
          </w:tcPr>
          <w:p w14:paraId="6431506D"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33</w:t>
            </w:r>
          </w:p>
        </w:tc>
        <w:tc>
          <w:tcPr>
            <w:tcW w:w="0" w:type="auto"/>
            <w:tcBorders>
              <w:top w:val="nil"/>
              <w:left w:val="nil"/>
              <w:bottom w:val="single" w:sz="4" w:space="0" w:color="auto"/>
              <w:right w:val="single" w:sz="4" w:space="0" w:color="auto"/>
            </w:tcBorders>
            <w:shd w:val="clear" w:color="auto" w:fill="auto"/>
            <w:noWrap/>
            <w:vAlign w:val="center"/>
            <w:hideMark/>
          </w:tcPr>
          <w:p w14:paraId="52E7505F"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53</w:t>
            </w:r>
          </w:p>
        </w:tc>
        <w:tc>
          <w:tcPr>
            <w:tcW w:w="0" w:type="auto"/>
            <w:tcBorders>
              <w:top w:val="nil"/>
              <w:left w:val="nil"/>
              <w:bottom w:val="single" w:sz="4" w:space="0" w:color="auto"/>
              <w:right w:val="single" w:sz="4" w:space="0" w:color="auto"/>
            </w:tcBorders>
            <w:shd w:val="clear" w:color="auto" w:fill="auto"/>
            <w:noWrap/>
            <w:vAlign w:val="center"/>
            <w:hideMark/>
          </w:tcPr>
          <w:p w14:paraId="0F032023"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100</w:t>
            </w:r>
          </w:p>
        </w:tc>
        <w:tc>
          <w:tcPr>
            <w:tcW w:w="0" w:type="auto"/>
            <w:tcBorders>
              <w:top w:val="nil"/>
              <w:left w:val="nil"/>
              <w:bottom w:val="single" w:sz="4" w:space="0" w:color="auto"/>
              <w:right w:val="single" w:sz="4" w:space="0" w:color="auto"/>
            </w:tcBorders>
            <w:shd w:val="clear" w:color="auto" w:fill="auto"/>
            <w:noWrap/>
            <w:vAlign w:val="center"/>
            <w:hideMark/>
          </w:tcPr>
          <w:p w14:paraId="05F4871B"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74</w:t>
            </w:r>
          </w:p>
        </w:tc>
        <w:tc>
          <w:tcPr>
            <w:tcW w:w="0" w:type="auto"/>
            <w:tcBorders>
              <w:top w:val="nil"/>
              <w:left w:val="nil"/>
              <w:bottom w:val="single" w:sz="4" w:space="0" w:color="auto"/>
              <w:right w:val="single" w:sz="4" w:space="0" w:color="auto"/>
            </w:tcBorders>
            <w:shd w:val="clear" w:color="auto" w:fill="auto"/>
            <w:noWrap/>
            <w:vAlign w:val="center"/>
            <w:hideMark/>
          </w:tcPr>
          <w:p w14:paraId="10EFC69E"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104</w:t>
            </w:r>
          </w:p>
        </w:tc>
        <w:tc>
          <w:tcPr>
            <w:tcW w:w="1460" w:type="dxa"/>
            <w:tcBorders>
              <w:top w:val="nil"/>
              <w:left w:val="nil"/>
              <w:bottom w:val="single" w:sz="4" w:space="0" w:color="auto"/>
              <w:right w:val="single" w:sz="4" w:space="0" w:color="auto"/>
            </w:tcBorders>
            <w:shd w:val="clear" w:color="auto" w:fill="auto"/>
            <w:noWrap/>
            <w:vAlign w:val="center"/>
            <w:hideMark/>
          </w:tcPr>
          <w:p w14:paraId="59A34A87" w14:textId="77777777" w:rsidR="00FC0B5B" w:rsidRPr="00CD7A7B" w:rsidRDefault="00FC0B5B" w:rsidP="00CD7A7B">
            <w:pPr>
              <w:spacing w:after="0" w:line="240" w:lineRule="auto"/>
              <w:jc w:val="center"/>
              <w:rPr>
                <w:rFonts w:ascii="Arial" w:eastAsia="Times New Roman" w:hAnsi="Arial" w:cs="Arial"/>
                <w:b/>
                <w:bCs/>
                <w:color w:val="000000"/>
                <w:sz w:val="14"/>
                <w:szCs w:val="14"/>
                <w:lang w:eastAsia="es-MX"/>
              </w:rPr>
            </w:pPr>
            <w:r w:rsidRPr="00CD7A7B">
              <w:rPr>
                <w:rFonts w:ascii="Arial" w:eastAsia="Times New Roman" w:hAnsi="Arial" w:cs="Arial"/>
                <w:b/>
                <w:bCs/>
                <w:color w:val="000000"/>
                <w:sz w:val="14"/>
                <w:szCs w:val="14"/>
                <w:lang w:eastAsia="es-MX"/>
              </w:rPr>
              <w:t>364</w:t>
            </w:r>
          </w:p>
        </w:tc>
      </w:tr>
      <w:tr w:rsidR="00CD7A7B" w:rsidRPr="00CB2BA0" w14:paraId="3C255BD9" w14:textId="77777777" w:rsidTr="00CD7A7B">
        <w:trPr>
          <w:trHeight w:val="300"/>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14:paraId="0574DD18" w14:textId="77777777" w:rsidR="00FC0B5B" w:rsidRPr="00CD7A7B" w:rsidRDefault="00FC0B5B" w:rsidP="00CD7A7B">
            <w:pPr>
              <w:spacing w:after="0" w:line="240" w:lineRule="auto"/>
              <w:jc w:val="center"/>
              <w:rPr>
                <w:rFonts w:ascii="Arial" w:eastAsia="Times New Roman" w:hAnsi="Arial" w:cs="Arial"/>
                <w:color w:val="000000"/>
                <w:sz w:val="16"/>
                <w:szCs w:val="16"/>
                <w:lang w:eastAsia="es-MX"/>
              </w:rPr>
            </w:pPr>
            <w:r w:rsidRPr="00CD7A7B">
              <w:rPr>
                <w:rFonts w:ascii="Arial" w:eastAsia="Times New Roman" w:hAnsi="Arial" w:cs="Arial"/>
                <w:color w:val="000000"/>
                <w:sz w:val="16"/>
                <w:szCs w:val="16"/>
                <w:lang w:eastAsia="es-MX"/>
              </w:rPr>
              <w:t>Monto Observado</w:t>
            </w:r>
          </w:p>
        </w:tc>
        <w:tc>
          <w:tcPr>
            <w:tcW w:w="1628" w:type="dxa"/>
            <w:tcBorders>
              <w:top w:val="nil"/>
              <w:left w:val="nil"/>
              <w:bottom w:val="single" w:sz="4" w:space="0" w:color="auto"/>
              <w:right w:val="single" w:sz="4" w:space="0" w:color="auto"/>
            </w:tcBorders>
            <w:shd w:val="clear" w:color="auto" w:fill="auto"/>
            <w:noWrap/>
            <w:vAlign w:val="center"/>
            <w:hideMark/>
          </w:tcPr>
          <w:p w14:paraId="6F529A36"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26,463,400,890.94</w:t>
            </w:r>
          </w:p>
        </w:tc>
        <w:tc>
          <w:tcPr>
            <w:tcW w:w="0" w:type="auto"/>
            <w:tcBorders>
              <w:top w:val="nil"/>
              <w:left w:val="nil"/>
              <w:bottom w:val="single" w:sz="4" w:space="0" w:color="auto"/>
              <w:right w:val="single" w:sz="4" w:space="0" w:color="auto"/>
            </w:tcBorders>
            <w:shd w:val="clear" w:color="auto" w:fill="auto"/>
            <w:noWrap/>
            <w:vAlign w:val="center"/>
            <w:hideMark/>
          </w:tcPr>
          <w:p w14:paraId="4EF3082C"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2,731,606,011.77</w:t>
            </w:r>
          </w:p>
        </w:tc>
        <w:tc>
          <w:tcPr>
            <w:tcW w:w="0" w:type="auto"/>
            <w:tcBorders>
              <w:top w:val="nil"/>
              <w:left w:val="nil"/>
              <w:bottom w:val="single" w:sz="4" w:space="0" w:color="auto"/>
              <w:right w:val="single" w:sz="4" w:space="0" w:color="auto"/>
            </w:tcBorders>
            <w:shd w:val="clear" w:color="auto" w:fill="auto"/>
            <w:noWrap/>
            <w:vAlign w:val="center"/>
            <w:hideMark/>
          </w:tcPr>
          <w:p w14:paraId="5C8D51E1"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1,385,576,007.93</w:t>
            </w:r>
          </w:p>
        </w:tc>
        <w:tc>
          <w:tcPr>
            <w:tcW w:w="0" w:type="auto"/>
            <w:tcBorders>
              <w:top w:val="nil"/>
              <w:left w:val="nil"/>
              <w:bottom w:val="single" w:sz="4" w:space="0" w:color="auto"/>
              <w:right w:val="single" w:sz="4" w:space="0" w:color="auto"/>
            </w:tcBorders>
            <w:shd w:val="clear" w:color="auto" w:fill="auto"/>
            <w:noWrap/>
            <w:vAlign w:val="center"/>
            <w:hideMark/>
          </w:tcPr>
          <w:p w14:paraId="348B1309"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1,341,622,562.84</w:t>
            </w:r>
          </w:p>
        </w:tc>
        <w:tc>
          <w:tcPr>
            <w:tcW w:w="0" w:type="auto"/>
            <w:tcBorders>
              <w:top w:val="nil"/>
              <w:left w:val="nil"/>
              <w:bottom w:val="single" w:sz="4" w:space="0" w:color="auto"/>
              <w:right w:val="single" w:sz="4" w:space="0" w:color="auto"/>
            </w:tcBorders>
            <w:shd w:val="clear" w:color="auto" w:fill="auto"/>
            <w:noWrap/>
            <w:vAlign w:val="center"/>
            <w:hideMark/>
          </w:tcPr>
          <w:p w14:paraId="56660221" w14:textId="77777777" w:rsidR="00FC0B5B" w:rsidRPr="00CD7A7B" w:rsidRDefault="00FC0B5B" w:rsidP="00CD7A7B">
            <w:pPr>
              <w:spacing w:after="0" w:line="240" w:lineRule="auto"/>
              <w:jc w:val="center"/>
              <w:rPr>
                <w:rFonts w:ascii="Arial" w:eastAsia="Times New Roman" w:hAnsi="Arial" w:cs="Arial"/>
                <w:color w:val="000000"/>
                <w:sz w:val="14"/>
                <w:szCs w:val="14"/>
                <w:lang w:eastAsia="es-MX"/>
              </w:rPr>
            </w:pPr>
            <w:r w:rsidRPr="00CD7A7B">
              <w:rPr>
                <w:rFonts w:ascii="Arial" w:eastAsia="Times New Roman" w:hAnsi="Arial" w:cs="Arial"/>
                <w:color w:val="000000"/>
                <w:sz w:val="14"/>
                <w:szCs w:val="14"/>
                <w:lang w:eastAsia="es-MX"/>
              </w:rPr>
              <w:t>109,763,521.79</w:t>
            </w:r>
          </w:p>
        </w:tc>
        <w:tc>
          <w:tcPr>
            <w:tcW w:w="1460" w:type="dxa"/>
            <w:tcBorders>
              <w:top w:val="nil"/>
              <w:left w:val="nil"/>
              <w:bottom w:val="single" w:sz="4" w:space="0" w:color="auto"/>
              <w:right w:val="single" w:sz="4" w:space="0" w:color="auto"/>
            </w:tcBorders>
            <w:shd w:val="clear" w:color="auto" w:fill="auto"/>
            <w:noWrap/>
            <w:vAlign w:val="center"/>
            <w:hideMark/>
          </w:tcPr>
          <w:p w14:paraId="226C9F3B" w14:textId="77777777" w:rsidR="00FC0B5B" w:rsidRPr="00CD7A7B" w:rsidRDefault="00FC0B5B" w:rsidP="00CD7A7B">
            <w:pPr>
              <w:spacing w:after="0" w:line="240" w:lineRule="auto"/>
              <w:jc w:val="center"/>
              <w:rPr>
                <w:rFonts w:ascii="Arial" w:eastAsia="Times New Roman" w:hAnsi="Arial" w:cs="Arial"/>
                <w:b/>
                <w:bCs/>
                <w:color w:val="000000"/>
                <w:sz w:val="14"/>
                <w:szCs w:val="14"/>
                <w:lang w:eastAsia="es-MX"/>
              </w:rPr>
            </w:pPr>
            <w:r w:rsidRPr="00CD7A7B">
              <w:rPr>
                <w:rFonts w:ascii="Arial" w:eastAsia="Times New Roman" w:hAnsi="Arial" w:cs="Arial"/>
                <w:b/>
                <w:bCs/>
                <w:color w:val="000000"/>
                <w:sz w:val="14"/>
                <w:szCs w:val="14"/>
                <w:lang w:eastAsia="es-MX"/>
              </w:rPr>
              <w:t>32,031,968,995.27</w:t>
            </w:r>
          </w:p>
        </w:tc>
      </w:tr>
    </w:tbl>
    <w:p w14:paraId="00415D44" w14:textId="77777777" w:rsidR="00FC0B5B" w:rsidRPr="00CB2BA0" w:rsidRDefault="00FC0B5B" w:rsidP="00FC0B5B">
      <w:pPr>
        <w:jc w:val="both"/>
        <w:rPr>
          <w:rFonts w:ascii="Arial" w:hAnsi="Arial" w:cs="Arial"/>
          <w:sz w:val="24"/>
          <w:szCs w:val="24"/>
        </w:rPr>
      </w:pPr>
    </w:p>
    <w:p w14:paraId="66A3AD7A"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A continuación, se muestran los 5 conceptos más recurrentes que dan lugar a las observaciones por fondo o programa durante los ejercicios reportados:</w:t>
      </w:r>
    </w:p>
    <w:p w14:paraId="30430EDE" w14:textId="77777777" w:rsidR="00FC0B5B" w:rsidRPr="00CB2BA0" w:rsidRDefault="00FC0B5B" w:rsidP="00FC0B5B">
      <w:pPr>
        <w:jc w:val="both"/>
        <w:rPr>
          <w:rFonts w:ascii="Arial" w:hAnsi="Arial" w:cs="Arial"/>
          <w:sz w:val="24"/>
          <w:szCs w:val="24"/>
        </w:rPr>
      </w:pPr>
    </w:p>
    <w:tbl>
      <w:tblPr>
        <w:tblStyle w:val="Tablaconcuadrcula"/>
        <w:tblW w:w="8642" w:type="dxa"/>
        <w:jc w:val="center"/>
        <w:tblLook w:val="04A0" w:firstRow="1" w:lastRow="0" w:firstColumn="1" w:lastColumn="0" w:noHBand="0" w:noVBand="1"/>
      </w:tblPr>
      <w:tblGrid>
        <w:gridCol w:w="2972"/>
        <w:gridCol w:w="5670"/>
      </w:tblGrid>
      <w:tr w:rsidR="00FC0B5B" w:rsidRPr="00CB2BA0" w14:paraId="22B4FBBD" w14:textId="77777777" w:rsidTr="00CD7A7B">
        <w:trPr>
          <w:jc w:val="center"/>
        </w:trPr>
        <w:tc>
          <w:tcPr>
            <w:tcW w:w="2972" w:type="dxa"/>
            <w:shd w:val="clear" w:color="auto" w:fill="B4C6E7" w:themeFill="accent5" w:themeFillTint="66"/>
            <w:vAlign w:val="center"/>
          </w:tcPr>
          <w:p w14:paraId="179E31F1" w14:textId="77777777" w:rsidR="00FC0B5B" w:rsidRPr="00CD7A7B" w:rsidRDefault="00FC0B5B" w:rsidP="00CD7A7B">
            <w:pPr>
              <w:jc w:val="center"/>
              <w:rPr>
                <w:rFonts w:ascii="Arial" w:hAnsi="Arial" w:cs="Arial"/>
                <w:b/>
                <w:bCs/>
              </w:rPr>
            </w:pPr>
            <w:r w:rsidRPr="00CD7A7B">
              <w:rPr>
                <w:rFonts w:ascii="Arial" w:hAnsi="Arial" w:cs="Arial"/>
                <w:b/>
                <w:bCs/>
              </w:rPr>
              <w:t>Fondo o Programa</w:t>
            </w:r>
          </w:p>
        </w:tc>
        <w:tc>
          <w:tcPr>
            <w:tcW w:w="5670" w:type="dxa"/>
            <w:shd w:val="clear" w:color="auto" w:fill="B4C6E7" w:themeFill="accent5" w:themeFillTint="66"/>
          </w:tcPr>
          <w:p w14:paraId="2AEEB57B" w14:textId="77777777" w:rsidR="00FC0B5B" w:rsidRPr="00CD7A7B" w:rsidRDefault="00FC0B5B" w:rsidP="00CD7A7B">
            <w:pPr>
              <w:jc w:val="center"/>
              <w:rPr>
                <w:rFonts w:ascii="Arial" w:hAnsi="Arial" w:cs="Arial"/>
                <w:b/>
                <w:bCs/>
              </w:rPr>
            </w:pPr>
            <w:r w:rsidRPr="00CD7A7B">
              <w:rPr>
                <w:rFonts w:ascii="Arial" w:hAnsi="Arial" w:cs="Arial"/>
                <w:b/>
                <w:bCs/>
              </w:rPr>
              <w:t>Observación</w:t>
            </w:r>
          </w:p>
        </w:tc>
      </w:tr>
      <w:tr w:rsidR="00FC0B5B" w:rsidRPr="00CB2BA0" w14:paraId="5676058C" w14:textId="77777777" w:rsidTr="00CD7A7B">
        <w:trPr>
          <w:jc w:val="center"/>
        </w:trPr>
        <w:tc>
          <w:tcPr>
            <w:tcW w:w="2972" w:type="dxa"/>
            <w:vAlign w:val="center"/>
          </w:tcPr>
          <w:p w14:paraId="142A4327" w14:textId="77777777" w:rsidR="00FC0B5B" w:rsidRPr="00CD7A7B" w:rsidRDefault="00FC0B5B" w:rsidP="000F0972">
            <w:pPr>
              <w:jc w:val="both"/>
              <w:rPr>
                <w:rFonts w:ascii="Arial" w:hAnsi="Arial" w:cs="Arial"/>
                <w:sz w:val="20"/>
                <w:szCs w:val="20"/>
              </w:rPr>
            </w:pPr>
            <w:r w:rsidRPr="00CD7A7B">
              <w:rPr>
                <w:rFonts w:ascii="Arial" w:hAnsi="Arial" w:cs="Arial"/>
                <w:sz w:val="20"/>
                <w:szCs w:val="20"/>
              </w:rPr>
              <w:t>Participaciones Federales a Entidades Federativas</w:t>
            </w:r>
          </w:p>
        </w:tc>
        <w:tc>
          <w:tcPr>
            <w:tcW w:w="5670" w:type="dxa"/>
          </w:tcPr>
          <w:p w14:paraId="345ED934" w14:textId="77777777" w:rsidR="00FC0B5B" w:rsidRPr="00CD7A7B" w:rsidRDefault="00FC0B5B" w:rsidP="000F0972">
            <w:pPr>
              <w:jc w:val="both"/>
              <w:rPr>
                <w:rFonts w:ascii="Arial" w:hAnsi="Arial" w:cs="Arial"/>
              </w:rPr>
            </w:pPr>
            <w:r w:rsidRPr="00CD7A7B">
              <w:rPr>
                <w:rFonts w:ascii="Arial" w:hAnsi="Arial" w:cs="Arial"/>
              </w:rPr>
              <w:t>1.- Falta de documentación comprobatoria de proveedores y contratistas (contrato, monto, razón social, RFC, descripción, monto de facturas, cuenta bancaria, y banco).</w:t>
            </w:r>
          </w:p>
          <w:p w14:paraId="35BF75E9" w14:textId="77777777" w:rsidR="00FC0B5B" w:rsidRPr="00CD7A7B" w:rsidRDefault="00FC0B5B" w:rsidP="000F0972">
            <w:pPr>
              <w:jc w:val="both"/>
              <w:rPr>
                <w:rFonts w:ascii="Arial" w:hAnsi="Arial" w:cs="Arial"/>
              </w:rPr>
            </w:pPr>
            <w:r w:rsidRPr="00CD7A7B">
              <w:rPr>
                <w:rFonts w:ascii="Arial" w:hAnsi="Arial" w:cs="Arial"/>
              </w:rPr>
              <w:t xml:space="preserve">2.- No aplicar penas convencionales por atraso en la ejecución de obra. </w:t>
            </w:r>
          </w:p>
          <w:p w14:paraId="0D1B3334" w14:textId="77777777" w:rsidR="00FC0B5B" w:rsidRPr="00CD7A7B" w:rsidRDefault="00FC0B5B" w:rsidP="000F0972">
            <w:pPr>
              <w:jc w:val="both"/>
              <w:rPr>
                <w:rFonts w:ascii="Arial" w:hAnsi="Arial" w:cs="Arial"/>
              </w:rPr>
            </w:pPr>
            <w:r w:rsidRPr="00CD7A7B">
              <w:rPr>
                <w:rFonts w:ascii="Arial" w:hAnsi="Arial" w:cs="Arial"/>
              </w:rPr>
              <w:t xml:space="preserve">3.- Pagar con recursos del programa las actualizaciones y recargos del entero del ISR al SAT. </w:t>
            </w:r>
          </w:p>
          <w:p w14:paraId="67881746" w14:textId="77777777" w:rsidR="00FC0B5B" w:rsidRPr="00CD7A7B" w:rsidRDefault="00FC0B5B" w:rsidP="000F0972">
            <w:pPr>
              <w:jc w:val="both"/>
              <w:rPr>
                <w:rFonts w:ascii="Arial" w:hAnsi="Arial" w:cs="Arial"/>
              </w:rPr>
            </w:pPr>
            <w:r w:rsidRPr="00CD7A7B">
              <w:rPr>
                <w:rFonts w:ascii="Arial" w:hAnsi="Arial" w:cs="Arial"/>
              </w:rPr>
              <w:t xml:space="preserve">4.- Pago por obras y servicios no ejecutados. </w:t>
            </w:r>
          </w:p>
          <w:p w14:paraId="6AF1B9E9" w14:textId="77777777" w:rsidR="00FC0B5B" w:rsidRPr="00CD7A7B" w:rsidRDefault="00FC0B5B" w:rsidP="000F0972">
            <w:pPr>
              <w:jc w:val="both"/>
              <w:rPr>
                <w:rFonts w:ascii="Arial" w:hAnsi="Arial" w:cs="Arial"/>
              </w:rPr>
            </w:pPr>
            <w:r w:rsidRPr="00CD7A7B">
              <w:rPr>
                <w:rFonts w:ascii="Arial" w:hAnsi="Arial" w:cs="Arial"/>
              </w:rPr>
              <w:t>5.- Pagos a proveedores y contratistas que no acreditan la capacidad técnica para la ejecución de las obras.</w:t>
            </w:r>
          </w:p>
        </w:tc>
      </w:tr>
      <w:tr w:rsidR="00FC0B5B" w:rsidRPr="00CB2BA0" w14:paraId="3F205DD9" w14:textId="77777777" w:rsidTr="00CD7A7B">
        <w:trPr>
          <w:jc w:val="center"/>
        </w:trPr>
        <w:tc>
          <w:tcPr>
            <w:tcW w:w="2972" w:type="dxa"/>
            <w:vAlign w:val="center"/>
          </w:tcPr>
          <w:p w14:paraId="08BFA6E7" w14:textId="77777777" w:rsidR="00FC0B5B" w:rsidRPr="00CD7A7B" w:rsidRDefault="00FC0B5B" w:rsidP="000F0972">
            <w:pPr>
              <w:jc w:val="both"/>
              <w:rPr>
                <w:rFonts w:ascii="Arial" w:hAnsi="Arial" w:cs="Arial"/>
                <w:sz w:val="20"/>
                <w:szCs w:val="20"/>
              </w:rPr>
            </w:pPr>
          </w:p>
          <w:p w14:paraId="3B7293A1" w14:textId="77777777" w:rsidR="00FC0B5B" w:rsidRPr="00CD7A7B" w:rsidRDefault="00FC0B5B" w:rsidP="000F0972">
            <w:pPr>
              <w:jc w:val="both"/>
              <w:rPr>
                <w:rFonts w:ascii="Arial" w:hAnsi="Arial" w:cs="Arial"/>
                <w:sz w:val="20"/>
                <w:szCs w:val="20"/>
              </w:rPr>
            </w:pPr>
            <w:r w:rsidRPr="00CD7A7B">
              <w:rPr>
                <w:rFonts w:ascii="Arial" w:hAnsi="Arial" w:cs="Arial"/>
                <w:sz w:val="20"/>
                <w:szCs w:val="20"/>
              </w:rPr>
              <w:t>FASSA</w:t>
            </w:r>
          </w:p>
          <w:p w14:paraId="35966BAB" w14:textId="77777777" w:rsidR="00FC0B5B" w:rsidRPr="00CD7A7B" w:rsidRDefault="00FC0B5B" w:rsidP="000F0972">
            <w:pPr>
              <w:jc w:val="both"/>
              <w:rPr>
                <w:rFonts w:ascii="Arial" w:hAnsi="Arial" w:cs="Arial"/>
                <w:sz w:val="20"/>
                <w:szCs w:val="20"/>
              </w:rPr>
            </w:pPr>
          </w:p>
          <w:p w14:paraId="66AD5357" w14:textId="77777777" w:rsidR="00FC0B5B" w:rsidRPr="00CD7A7B" w:rsidRDefault="00FC0B5B" w:rsidP="000F0972">
            <w:pPr>
              <w:jc w:val="both"/>
              <w:rPr>
                <w:rFonts w:ascii="Arial" w:hAnsi="Arial" w:cs="Arial"/>
                <w:sz w:val="20"/>
                <w:szCs w:val="20"/>
              </w:rPr>
            </w:pPr>
          </w:p>
          <w:p w14:paraId="226310BE" w14:textId="77777777" w:rsidR="00FC0B5B" w:rsidRPr="00CD7A7B" w:rsidRDefault="00FC0B5B" w:rsidP="000F0972">
            <w:pPr>
              <w:jc w:val="both"/>
              <w:rPr>
                <w:rFonts w:ascii="Arial" w:hAnsi="Arial" w:cs="Arial"/>
                <w:sz w:val="20"/>
                <w:szCs w:val="20"/>
              </w:rPr>
            </w:pPr>
          </w:p>
          <w:p w14:paraId="4D85FE39" w14:textId="77777777" w:rsidR="00FC0B5B" w:rsidRPr="00CD7A7B" w:rsidRDefault="00FC0B5B" w:rsidP="000F0972">
            <w:pPr>
              <w:jc w:val="both"/>
              <w:rPr>
                <w:rFonts w:ascii="Arial" w:hAnsi="Arial" w:cs="Arial"/>
                <w:sz w:val="20"/>
                <w:szCs w:val="20"/>
              </w:rPr>
            </w:pPr>
          </w:p>
          <w:p w14:paraId="2876A933" w14:textId="77777777" w:rsidR="00FC0B5B" w:rsidRPr="00CD7A7B" w:rsidRDefault="00FC0B5B" w:rsidP="000F0972">
            <w:pPr>
              <w:jc w:val="both"/>
              <w:rPr>
                <w:rFonts w:ascii="Arial" w:hAnsi="Arial" w:cs="Arial"/>
                <w:sz w:val="20"/>
                <w:szCs w:val="20"/>
              </w:rPr>
            </w:pPr>
          </w:p>
          <w:p w14:paraId="6B45D0DB" w14:textId="77777777" w:rsidR="00FC0B5B" w:rsidRPr="00CD7A7B" w:rsidRDefault="00FC0B5B" w:rsidP="000F0972">
            <w:pPr>
              <w:jc w:val="both"/>
              <w:rPr>
                <w:rFonts w:ascii="Arial" w:hAnsi="Arial" w:cs="Arial"/>
                <w:sz w:val="20"/>
                <w:szCs w:val="20"/>
              </w:rPr>
            </w:pPr>
            <w:r w:rsidRPr="00CD7A7B">
              <w:rPr>
                <w:rFonts w:ascii="Arial" w:hAnsi="Arial" w:cs="Arial"/>
                <w:sz w:val="20"/>
                <w:szCs w:val="20"/>
              </w:rPr>
              <w:t>FASSA</w:t>
            </w:r>
          </w:p>
        </w:tc>
        <w:tc>
          <w:tcPr>
            <w:tcW w:w="5670" w:type="dxa"/>
          </w:tcPr>
          <w:p w14:paraId="706A5EC3" w14:textId="77777777" w:rsidR="00FC0B5B" w:rsidRPr="00CD7A7B" w:rsidRDefault="00FC0B5B" w:rsidP="000F0972">
            <w:pPr>
              <w:jc w:val="both"/>
              <w:rPr>
                <w:rFonts w:ascii="Arial" w:hAnsi="Arial" w:cs="Arial"/>
              </w:rPr>
            </w:pPr>
            <w:r w:rsidRPr="00CD7A7B">
              <w:rPr>
                <w:rFonts w:ascii="Arial" w:hAnsi="Arial" w:cs="Arial"/>
              </w:rPr>
              <w:lastRenderedPageBreak/>
              <w:t xml:space="preserve">1.- No acreditar la aplicación de los recursos con los objetivos del Fondo. </w:t>
            </w:r>
          </w:p>
          <w:p w14:paraId="3BC24CC3" w14:textId="77777777" w:rsidR="00FC0B5B" w:rsidRPr="00CD7A7B" w:rsidRDefault="00FC0B5B" w:rsidP="000F0972">
            <w:pPr>
              <w:jc w:val="both"/>
              <w:rPr>
                <w:rFonts w:ascii="Arial" w:hAnsi="Arial" w:cs="Arial"/>
              </w:rPr>
            </w:pPr>
            <w:r w:rsidRPr="00CD7A7B">
              <w:rPr>
                <w:rFonts w:ascii="Arial" w:hAnsi="Arial" w:cs="Arial"/>
              </w:rPr>
              <w:lastRenderedPageBreak/>
              <w:t>2.- Falta de documentación comprobatoria que acredite el ejercicio de los recursos.</w:t>
            </w:r>
          </w:p>
          <w:p w14:paraId="28079A4D" w14:textId="77777777" w:rsidR="00FC0B5B" w:rsidRPr="00CD7A7B" w:rsidRDefault="00FC0B5B" w:rsidP="000F0972">
            <w:pPr>
              <w:jc w:val="both"/>
              <w:rPr>
                <w:rFonts w:ascii="Arial" w:hAnsi="Arial" w:cs="Arial"/>
              </w:rPr>
            </w:pPr>
            <w:r w:rsidRPr="00CD7A7B">
              <w:rPr>
                <w:rFonts w:ascii="Arial" w:hAnsi="Arial" w:cs="Arial"/>
              </w:rPr>
              <w:t xml:space="preserve">3.- No realizar el reintegro a la Tesorería de la Federación. </w:t>
            </w:r>
          </w:p>
          <w:p w14:paraId="46B73E0F" w14:textId="77777777" w:rsidR="00FC0B5B" w:rsidRPr="00CD7A7B" w:rsidRDefault="00FC0B5B" w:rsidP="000F0972">
            <w:pPr>
              <w:jc w:val="both"/>
              <w:rPr>
                <w:rFonts w:ascii="Arial" w:hAnsi="Arial" w:cs="Arial"/>
              </w:rPr>
            </w:pPr>
            <w:r w:rsidRPr="00CD7A7B">
              <w:rPr>
                <w:rFonts w:ascii="Arial" w:hAnsi="Arial" w:cs="Arial"/>
              </w:rPr>
              <w:t xml:space="preserve">4.- Utilización del recurso para fondear otros gastos. </w:t>
            </w:r>
          </w:p>
          <w:p w14:paraId="7ED4A73A" w14:textId="77777777" w:rsidR="00FC0B5B" w:rsidRPr="00CD7A7B" w:rsidRDefault="00FC0B5B" w:rsidP="000F0972">
            <w:pPr>
              <w:jc w:val="both"/>
              <w:rPr>
                <w:rFonts w:ascii="Arial" w:hAnsi="Arial" w:cs="Arial"/>
              </w:rPr>
            </w:pPr>
            <w:r w:rsidRPr="00CD7A7B">
              <w:rPr>
                <w:rFonts w:ascii="Arial" w:hAnsi="Arial" w:cs="Arial"/>
              </w:rPr>
              <w:t>5.- Pagos a servidores púbicos posterior a la fecha de baja, pagos a personal que no se encontró en los centros de trabajo, falta de justificación de su ausencia o pago a personal que no acredita el perfil correspondiente.</w:t>
            </w:r>
          </w:p>
        </w:tc>
      </w:tr>
      <w:tr w:rsidR="00FC0B5B" w:rsidRPr="00CB2BA0" w14:paraId="055D6869" w14:textId="77777777" w:rsidTr="00CD7A7B">
        <w:trPr>
          <w:jc w:val="center"/>
        </w:trPr>
        <w:tc>
          <w:tcPr>
            <w:tcW w:w="2972" w:type="dxa"/>
            <w:vAlign w:val="center"/>
          </w:tcPr>
          <w:p w14:paraId="57BD1862" w14:textId="77777777" w:rsidR="00FC0B5B" w:rsidRPr="00CD7A7B" w:rsidRDefault="00FC0B5B" w:rsidP="000F0972">
            <w:pPr>
              <w:jc w:val="both"/>
              <w:rPr>
                <w:rFonts w:ascii="Arial" w:hAnsi="Arial" w:cs="Arial"/>
                <w:sz w:val="20"/>
                <w:szCs w:val="20"/>
              </w:rPr>
            </w:pPr>
            <w:r w:rsidRPr="00CD7A7B">
              <w:rPr>
                <w:rFonts w:ascii="Arial" w:hAnsi="Arial" w:cs="Arial"/>
                <w:sz w:val="20"/>
                <w:szCs w:val="20"/>
              </w:rPr>
              <w:lastRenderedPageBreak/>
              <w:t>FONE</w:t>
            </w:r>
          </w:p>
        </w:tc>
        <w:tc>
          <w:tcPr>
            <w:tcW w:w="5670" w:type="dxa"/>
          </w:tcPr>
          <w:p w14:paraId="0C5D5D8B" w14:textId="77777777" w:rsidR="00FC0B5B" w:rsidRPr="00CD7A7B" w:rsidRDefault="00FC0B5B" w:rsidP="000F0972">
            <w:pPr>
              <w:jc w:val="both"/>
              <w:rPr>
                <w:rFonts w:ascii="Arial" w:hAnsi="Arial" w:cs="Arial"/>
              </w:rPr>
            </w:pPr>
            <w:r w:rsidRPr="00CD7A7B">
              <w:rPr>
                <w:rFonts w:ascii="Arial" w:hAnsi="Arial" w:cs="Arial"/>
              </w:rPr>
              <w:t xml:space="preserve">1.- No realizar el reintegro en tiempo y forma a la Tesorería de la Federación de los recursos no devengados conforme a la normatividad aplicable. </w:t>
            </w:r>
          </w:p>
          <w:p w14:paraId="74DA4D39" w14:textId="77777777" w:rsidR="00FC0B5B" w:rsidRPr="00CD7A7B" w:rsidRDefault="00FC0B5B" w:rsidP="000F0972">
            <w:pPr>
              <w:jc w:val="both"/>
              <w:rPr>
                <w:rFonts w:ascii="Arial" w:hAnsi="Arial" w:cs="Arial"/>
              </w:rPr>
            </w:pPr>
            <w:r w:rsidRPr="00CD7A7B">
              <w:rPr>
                <w:rFonts w:ascii="Arial" w:hAnsi="Arial" w:cs="Arial"/>
              </w:rPr>
              <w:t xml:space="preserve">2.- Pagos indebidos a los trabajadores que no acreditaron realizar funciones destinadas a la educación básica y normal. </w:t>
            </w:r>
          </w:p>
          <w:p w14:paraId="75D17898" w14:textId="77777777" w:rsidR="00FC0B5B" w:rsidRPr="00CD7A7B" w:rsidRDefault="00FC0B5B" w:rsidP="000F0972">
            <w:pPr>
              <w:jc w:val="both"/>
              <w:rPr>
                <w:rFonts w:ascii="Arial" w:hAnsi="Arial" w:cs="Arial"/>
              </w:rPr>
            </w:pPr>
            <w:r w:rsidRPr="00CD7A7B">
              <w:rPr>
                <w:rFonts w:ascii="Arial" w:hAnsi="Arial" w:cs="Arial"/>
              </w:rPr>
              <w:t xml:space="preserve">3.- Pagos improcedentes por falta de documentación comprobatoria o que no cumplen con el objetivo del Fondo. </w:t>
            </w:r>
          </w:p>
          <w:p w14:paraId="000C46D9" w14:textId="77777777" w:rsidR="00FC0B5B" w:rsidRPr="00CD7A7B" w:rsidRDefault="00FC0B5B" w:rsidP="000F0972">
            <w:pPr>
              <w:jc w:val="both"/>
              <w:rPr>
                <w:rFonts w:ascii="Arial" w:hAnsi="Arial" w:cs="Arial"/>
              </w:rPr>
            </w:pPr>
            <w:r w:rsidRPr="00CD7A7B">
              <w:rPr>
                <w:rFonts w:ascii="Arial" w:hAnsi="Arial" w:cs="Arial"/>
              </w:rPr>
              <w:t xml:space="preserve">4.- Pagos a empleados que no son localizados al momento de las visitas o están comisionados a otros entes al momento de las revisiones por parte de los entes fiscalizadores. </w:t>
            </w:r>
          </w:p>
          <w:p w14:paraId="7206AE66" w14:textId="77777777" w:rsidR="00FC0B5B" w:rsidRPr="00CD7A7B" w:rsidRDefault="00FC0B5B" w:rsidP="000F0972">
            <w:pPr>
              <w:jc w:val="both"/>
              <w:rPr>
                <w:rFonts w:ascii="Arial" w:hAnsi="Arial" w:cs="Arial"/>
              </w:rPr>
            </w:pPr>
            <w:r w:rsidRPr="00CD7A7B">
              <w:rPr>
                <w:rFonts w:ascii="Arial" w:hAnsi="Arial" w:cs="Arial"/>
              </w:rPr>
              <w:t>5.- Pagos a cuentas de servidores públicos posteriores a la fecha de baja o que se encuentran en periodo de licencia sin goce de sueldo.</w:t>
            </w:r>
          </w:p>
        </w:tc>
      </w:tr>
      <w:tr w:rsidR="00FC0B5B" w:rsidRPr="00CB2BA0" w14:paraId="646A62E5" w14:textId="77777777" w:rsidTr="00CD7A7B">
        <w:trPr>
          <w:jc w:val="center"/>
        </w:trPr>
        <w:tc>
          <w:tcPr>
            <w:tcW w:w="2972" w:type="dxa"/>
            <w:vAlign w:val="center"/>
          </w:tcPr>
          <w:p w14:paraId="6B7B2DE1" w14:textId="77777777" w:rsidR="00FC0B5B" w:rsidRPr="00CD7A7B" w:rsidRDefault="00FC0B5B" w:rsidP="000F0972">
            <w:pPr>
              <w:jc w:val="both"/>
              <w:rPr>
                <w:rFonts w:ascii="Arial" w:hAnsi="Arial" w:cs="Arial"/>
                <w:sz w:val="20"/>
                <w:szCs w:val="20"/>
              </w:rPr>
            </w:pPr>
            <w:r w:rsidRPr="00CD7A7B">
              <w:rPr>
                <w:rFonts w:ascii="Arial" w:hAnsi="Arial" w:cs="Arial"/>
                <w:sz w:val="20"/>
                <w:szCs w:val="20"/>
              </w:rPr>
              <w:t>FAFEF</w:t>
            </w:r>
          </w:p>
        </w:tc>
        <w:tc>
          <w:tcPr>
            <w:tcW w:w="5670" w:type="dxa"/>
          </w:tcPr>
          <w:p w14:paraId="6F9BF13E" w14:textId="77777777" w:rsidR="00FC0B5B" w:rsidRPr="00CD7A7B" w:rsidRDefault="00FC0B5B" w:rsidP="000F0972">
            <w:pPr>
              <w:jc w:val="both"/>
              <w:rPr>
                <w:rFonts w:ascii="Arial" w:hAnsi="Arial" w:cs="Arial"/>
              </w:rPr>
            </w:pPr>
            <w:r w:rsidRPr="00CD7A7B">
              <w:rPr>
                <w:rFonts w:ascii="Arial" w:hAnsi="Arial" w:cs="Arial"/>
              </w:rPr>
              <w:t xml:space="preserve">1.- Pagos en exceso. </w:t>
            </w:r>
          </w:p>
          <w:p w14:paraId="4C82D5ED" w14:textId="77777777" w:rsidR="00FC0B5B" w:rsidRPr="00CD7A7B" w:rsidRDefault="00FC0B5B" w:rsidP="000F0972">
            <w:pPr>
              <w:jc w:val="both"/>
              <w:rPr>
                <w:rFonts w:ascii="Arial" w:hAnsi="Arial" w:cs="Arial"/>
              </w:rPr>
            </w:pPr>
            <w:r w:rsidRPr="00CD7A7B">
              <w:rPr>
                <w:rFonts w:ascii="Arial" w:hAnsi="Arial" w:cs="Arial"/>
              </w:rPr>
              <w:t xml:space="preserve">2.- No acreditar la aplicación de los recursos del Fondo, en los plazos establecidos por la normatividad vigente. </w:t>
            </w:r>
          </w:p>
          <w:p w14:paraId="5255CF6C" w14:textId="77777777" w:rsidR="00FC0B5B" w:rsidRPr="00CD7A7B" w:rsidRDefault="00FC0B5B" w:rsidP="000F0972">
            <w:pPr>
              <w:jc w:val="both"/>
              <w:rPr>
                <w:rFonts w:ascii="Arial" w:hAnsi="Arial" w:cs="Arial"/>
              </w:rPr>
            </w:pPr>
            <w:r w:rsidRPr="00CD7A7B">
              <w:rPr>
                <w:rFonts w:ascii="Arial" w:hAnsi="Arial" w:cs="Arial"/>
              </w:rPr>
              <w:t xml:space="preserve">3.- Falta de documentación comprobatoria y justificativa del gasto. </w:t>
            </w:r>
          </w:p>
          <w:p w14:paraId="41033268" w14:textId="77777777" w:rsidR="00FC0B5B" w:rsidRPr="00CD7A7B" w:rsidRDefault="00FC0B5B" w:rsidP="000F0972">
            <w:pPr>
              <w:jc w:val="both"/>
              <w:rPr>
                <w:rFonts w:ascii="Arial" w:hAnsi="Arial" w:cs="Arial"/>
              </w:rPr>
            </w:pPr>
            <w:r w:rsidRPr="00CD7A7B">
              <w:rPr>
                <w:rFonts w:ascii="Arial" w:hAnsi="Arial" w:cs="Arial"/>
              </w:rPr>
              <w:t>4.- Pagos por concepto de obra pagada que no está operando.</w:t>
            </w:r>
          </w:p>
          <w:p w14:paraId="32B1A742" w14:textId="77777777" w:rsidR="00FC0B5B" w:rsidRPr="00CD7A7B" w:rsidRDefault="00FC0B5B" w:rsidP="000F0972">
            <w:pPr>
              <w:jc w:val="both"/>
              <w:rPr>
                <w:rFonts w:ascii="Arial" w:hAnsi="Arial" w:cs="Arial"/>
              </w:rPr>
            </w:pPr>
            <w:r w:rsidRPr="00CD7A7B">
              <w:rPr>
                <w:rFonts w:ascii="Arial" w:hAnsi="Arial" w:cs="Arial"/>
              </w:rPr>
              <w:t>5.- No se reportaron los 4 informes trimestrales del reporte de gestión de proyectos o evaluación del recurso FAFEF a la Secretaría de Hacienda y Crédito Público.</w:t>
            </w:r>
          </w:p>
        </w:tc>
      </w:tr>
      <w:tr w:rsidR="00FC0B5B" w:rsidRPr="00CB2BA0" w14:paraId="27F938E8" w14:textId="77777777" w:rsidTr="00CD7A7B">
        <w:trPr>
          <w:jc w:val="center"/>
        </w:trPr>
        <w:tc>
          <w:tcPr>
            <w:tcW w:w="2972" w:type="dxa"/>
            <w:vAlign w:val="center"/>
          </w:tcPr>
          <w:p w14:paraId="6060D5D0" w14:textId="77777777" w:rsidR="00FC0B5B" w:rsidRPr="00CD7A7B" w:rsidRDefault="00FC0B5B" w:rsidP="000F0972">
            <w:pPr>
              <w:jc w:val="both"/>
              <w:rPr>
                <w:rFonts w:ascii="Arial" w:hAnsi="Arial" w:cs="Arial"/>
                <w:sz w:val="20"/>
                <w:szCs w:val="20"/>
              </w:rPr>
            </w:pPr>
            <w:r w:rsidRPr="00CD7A7B">
              <w:rPr>
                <w:rFonts w:ascii="Arial" w:hAnsi="Arial" w:cs="Arial"/>
                <w:sz w:val="20"/>
                <w:szCs w:val="20"/>
              </w:rPr>
              <w:t>FORTASEG</w:t>
            </w:r>
          </w:p>
        </w:tc>
        <w:tc>
          <w:tcPr>
            <w:tcW w:w="5670" w:type="dxa"/>
          </w:tcPr>
          <w:p w14:paraId="7DF7789B" w14:textId="77777777" w:rsidR="00FC0B5B" w:rsidRPr="00CD7A7B" w:rsidRDefault="00FC0B5B" w:rsidP="000F0972">
            <w:pPr>
              <w:jc w:val="both"/>
              <w:rPr>
                <w:rFonts w:ascii="Arial" w:hAnsi="Arial" w:cs="Arial"/>
              </w:rPr>
            </w:pPr>
            <w:r w:rsidRPr="00CD7A7B">
              <w:rPr>
                <w:rFonts w:ascii="Arial" w:hAnsi="Arial" w:cs="Arial"/>
              </w:rPr>
              <w:t xml:space="preserve">1.- Incumplimiento en la contratación de adquisiciones, arrendamientos y servicios del sector público. </w:t>
            </w:r>
          </w:p>
          <w:p w14:paraId="19DACFAB" w14:textId="77777777" w:rsidR="00FC0B5B" w:rsidRPr="00CD7A7B" w:rsidRDefault="00FC0B5B" w:rsidP="000F0972">
            <w:pPr>
              <w:jc w:val="both"/>
              <w:rPr>
                <w:rFonts w:ascii="Arial" w:hAnsi="Arial" w:cs="Arial"/>
              </w:rPr>
            </w:pPr>
            <w:r w:rsidRPr="00CD7A7B">
              <w:rPr>
                <w:rFonts w:ascii="Arial" w:hAnsi="Arial" w:cs="Arial"/>
              </w:rPr>
              <w:t xml:space="preserve">2.- Adquisiciones no presentadas en las verificaciones físicas y/o pagadas no suministradas; incumplimiento en el procedimiento de Licitación Pública; y falta de planeación y presupuestación en adquisición de bienes (material almacenado sin utilizar) </w:t>
            </w:r>
          </w:p>
          <w:p w14:paraId="7A5D823F" w14:textId="77777777" w:rsidR="00FC0B5B" w:rsidRPr="00CD7A7B" w:rsidRDefault="00FC0B5B" w:rsidP="000F0972">
            <w:pPr>
              <w:jc w:val="both"/>
              <w:rPr>
                <w:rFonts w:ascii="Arial" w:hAnsi="Arial" w:cs="Arial"/>
              </w:rPr>
            </w:pPr>
            <w:r w:rsidRPr="00CD7A7B">
              <w:rPr>
                <w:rFonts w:ascii="Arial" w:hAnsi="Arial" w:cs="Arial"/>
              </w:rPr>
              <w:t xml:space="preserve">3.- Recursos no devengados y no reintegrados a la Tesorería de la Federación. </w:t>
            </w:r>
          </w:p>
          <w:p w14:paraId="705AB4C1" w14:textId="77777777" w:rsidR="00FC0B5B" w:rsidRPr="00CD7A7B" w:rsidRDefault="00FC0B5B" w:rsidP="000F0972">
            <w:pPr>
              <w:jc w:val="both"/>
              <w:rPr>
                <w:rFonts w:ascii="Arial" w:hAnsi="Arial" w:cs="Arial"/>
              </w:rPr>
            </w:pPr>
            <w:r w:rsidRPr="00CD7A7B">
              <w:rPr>
                <w:rFonts w:ascii="Arial" w:hAnsi="Arial" w:cs="Arial"/>
              </w:rPr>
              <w:t xml:space="preserve">4.- Inexistencia de la cuenta bancaria específica. </w:t>
            </w:r>
          </w:p>
          <w:p w14:paraId="62D53258" w14:textId="77777777" w:rsidR="00FC0B5B" w:rsidRPr="00CD7A7B" w:rsidRDefault="00FC0B5B" w:rsidP="000F0972">
            <w:pPr>
              <w:jc w:val="both"/>
              <w:rPr>
                <w:rFonts w:ascii="Arial" w:hAnsi="Arial" w:cs="Arial"/>
              </w:rPr>
            </w:pPr>
            <w:r w:rsidRPr="00CD7A7B">
              <w:rPr>
                <w:rFonts w:ascii="Arial" w:hAnsi="Arial" w:cs="Arial"/>
              </w:rPr>
              <w:t>5.- Recursos destinados a fines distintos (Adquisición de artículos con fines no previstos en el Convenio y su Anexo Técnico).</w:t>
            </w:r>
          </w:p>
        </w:tc>
      </w:tr>
    </w:tbl>
    <w:p w14:paraId="1F08D514" w14:textId="77777777" w:rsidR="00FC0B5B" w:rsidRDefault="00FC0B5B" w:rsidP="00FC0B5B">
      <w:pPr>
        <w:jc w:val="both"/>
        <w:rPr>
          <w:rFonts w:ascii="Arial" w:hAnsi="Arial" w:cs="Arial"/>
          <w:sz w:val="24"/>
          <w:szCs w:val="24"/>
        </w:rPr>
      </w:pPr>
    </w:p>
    <w:p w14:paraId="30E32DF8" w14:textId="77777777" w:rsidR="00CD7A7B" w:rsidRDefault="00CD7A7B" w:rsidP="00FC0B5B">
      <w:pPr>
        <w:jc w:val="both"/>
        <w:rPr>
          <w:rFonts w:ascii="Arial" w:hAnsi="Arial" w:cs="Arial"/>
          <w:sz w:val="24"/>
          <w:szCs w:val="24"/>
        </w:rPr>
      </w:pPr>
    </w:p>
    <w:p w14:paraId="1667446F" w14:textId="77777777" w:rsidR="00CD7A7B" w:rsidRPr="00CB2BA0" w:rsidRDefault="00CD7A7B" w:rsidP="00FC0B5B">
      <w:pPr>
        <w:jc w:val="both"/>
        <w:rPr>
          <w:rFonts w:ascii="Arial" w:hAnsi="Arial" w:cs="Arial"/>
          <w:sz w:val="24"/>
          <w:szCs w:val="24"/>
        </w:rPr>
      </w:pPr>
    </w:p>
    <w:p w14:paraId="12B918CA" w14:textId="77777777" w:rsidR="00FC0B5B" w:rsidRPr="009756E8" w:rsidRDefault="00FC0B5B" w:rsidP="00FC0B5B">
      <w:pPr>
        <w:pStyle w:val="Prrafodelista"/>
        <w:numPr>
          <w:ilvl w:val="1"/>
          <w:numId w:val="19"/>
        </w:numPr>
        <w:jc w:val="both"/>
        <w:rPr>
          <w:rFonts w:ascii="Arial" w:hAnsi="Arial" w:cs="Arial"/>
          <w:b/>
          <w:sz w:val="24"/>
          <w:szCs w:val="24"/>
        </w:rPr>
      </w:pPr>
      <w:r w:rsidRPr="009756E8">
        <w:rPr>
          <w:rFonts w:ascii="Arial" w:hAnsi="Arial" w:cs="Arial"/>
          <w:b/>
          <w:sz w:val="24"/>
          <w:szCs w:val="24"/>
        </w:rPr>
        <w:t>Desafíos de la Fiscalización</w:t>
      </w:r>
    </w:p>
    <w:p w14:paraId="61F8B547" w14:textId="77777777" w:rsidR="00FC0B5B" w:rsidRPr="00CB2BA0" w:rsidRDefault="00FC0B5B" w:rsidP="00FC0B5B">
      <w:pPr>
        <w:jc w:val="both"/>
        <w:rPr>
          <w:rFonts w:ascii="Arial" w:hAnsi="Arial" w:cs="Arial"/>
          <w:sz w:val="24"/>
          <w:szCs w:val="24"/>
        </w:rPr>
      </w:pPr>
    </w:p>
    <w:p w14:paraId="1D4F51F7"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Derivado de las observaciones recurrentes y del intercambio de información entre los OEC, se pudieron identificar los principales desafíos y las consideraciones generales que deben ser tomados en cuenta para la fiscalización de los recursos.</w:t>
      </w:r>
    </w:p>
    <w:p w14:paraId="07083D29" w14:textId="77777777" w:rsidR="00FC0B5B" w:rsidRPr="00CB2BA0" w:rsidRDefault="00FC0B5B" w:rsidP="00FC0B5B">
      <w:pPr>
        <w:jc w:val="both"/>
        <w:rPr>
          <w:rFonts w:ascii="Arial" w:hAnsi="Arial" w:cs="Arial"/>
          <w:sz w:val="24"/>
          <w:szCs w:val="24"/>
        </w:rPr>
      </w:pPr>
    </w:p>
    <w:p w14:paraId="621F0BDC"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Principales desafíos:</w:t>
      </w:r>
    </w:p>
    <w:p w14:paraId="5C16D914" w14:textId="77777777" w:rsidR="00FC0B5B" w:rsidRPr="00CB2BA0" w:rsidRDefault="00FC0B5B" w:rsidP="00FC0B5B">
      <w:pPr>
        <w:jc w:val="both"/>
        <w:rPr>
          <w:rFonts w:ascii="Arial" w:hAnsi="Arial" w:cs="Arial"/>
          <w:sz w:val="24"/>
          <w:szCs w:val="24"/>
        </w:rPr>
      </w:pPr>
    </w:p>
    <w:p w14:paraId="7392AC27" w14:textId="77777777" w:rsidR="00FC0B5B" w:rsidRPr="00CB2BA0" w:rsidRDefault="00FC0B5B" w:rsidP="00FC0B5B">
      <w:pPr>
        <w:pStyle w:val="Prrafodelista"/>
        <w:numPr>
          <w:ilvl w:val="0"/>
          <w:numId w:val="20"/>
        </w:numPr>
        <w:jc w:val="both"/>
        <w:rPr>
          <w:rFonts w:ascii="Arial" w:hAnsi="Arial" w:cs="Arial"/>
          <w:sz w:val="24"/>
          <w:szCs w:val="24"/>
        </w:rPr>
      </w:pPr>
      <w:r w:rsidRPr="00CB2BA0">
        <w:rPr>
          <w:rFonts w:ascii="Arial" w:hAnsi="Arial" w:cs="Arial"/>
          <w:sz w:val="24"/>
          <w:szCs w:val="24"/>
        </w:rPr>
        <w:t>Homologación de los criterios y procesos de las auditorías.</w:t>
      </w:r>
    </w:p>
    <w:p w14:paraId="5CE356D7" w14:textId="77777777" w:rsidR="00FC0B5B" w:rsidRPr="00CB2BA0" w:rsidRDefault="00FC0B5B" w:rsidP="00FC0B5B">
      <w:pPr>
        <w:pStyle w:val="Prrafodelista"/>
        <w:numPr>
          <w:ilvl w:val="0"/>
          <w:numId w:val="20"/>
        </w:numPr>
        <w:jc w:val="both"/>
        <w:rPr>
          <w:rFonts w:ascii="Arial" w:hAnsi="Arial" w:cs="Arial"/>
          <w:sz w:val="24"/>
          <w:szCs w:val="24"/>
        </w:rPr>
      </w:pPr>
      <w:r w:rsidRPr="00CB2BA0">
        <w:rPr>
          <w:rFonts w:ascii="Arial" w:hAnsi="Arial" w:cs="Arial"/>
          <w:sz w:val="24"/>
          <w:szCs w:val="24"/>
        </w:rPr>
        <w:t>Personal capacitado y especializado que participe en las revisiones de los fondos o programas.</w:t>
      </w:r>
    </w:p>
    <w:p w14:paraId="18876DEB" w14:textId="77777777" w:rsidR="00FC0B5B" w:rsidRPr="00CB2BA0" w:rsidRDefault="00FC0B5B" w:rsidP="00FC0B5B">
      <w:pPr>
        <w:pStyle w:val="Prrafodelista"/>
        <w:numPr>
          <w:ilvl w:val="0"/>
          <w:numId w:val="20"/>
        </w:numPr>
        <w:jc w:val="both"/>
        <w:rPr>
          <w:rFonts w:ascii="Arial" w:hAnsi="Arial" w:cs="Arial"/>
          <w:sz w:val="24"/>
          <w:szCs w:val="24"/>
        </w:rPr>
      </w:pPr>
      <w:r w:rsidRPr="00CB2BA0">
        <w:rPr>
          <w:rFonts w:ascii="Arial" w:hAnsi="Arial" w:cs="Arial"/>
          <w:sz w:val="24"/>
          <w:szCs w:val="24"/>
        </w:rPr>
        <w:t>Falta de recursos humanos y materiales para realizar las inspecciones y revisiones físicas.</w:t>
      </w:r>
    </w:p>
    <w:p w14:paraId="1E9094DC" w14:textId="77777777" w:rsidR="00FC0B5B" w:rsidRPr="00CB2BA0" w:rsidRDefault="00FC0B5B" w:rsidP="00FC0B5B">
      <w:pPr>
        <w:pStyle w:val="Prrafodelista"/>
        <w:numPr>
          <w:ilvl w:val="0"/>
          <w:numId w:val="20"/>
        </w:numPr>
        <w:jc w:val="both"/>
        <w:rPr>
          <w:rFonts w:ascii="Arial" w:hAnsi="Arial" w:cs="Arial"/>
          <w:sz w:val="24"/>
          <w:szCs w:val="24"/>
        </w:rPr>
      </w:pPr>
      <w:r w:rsidRPr="00CB2BA0">
        <w:rPr>
          <w:rFonts w:ascii="Arial" w:hAnsi="Arial" w:cs="Arial"/>
          <w:sz w:val="24"/>
          <w:szCs w:val="24"/>
        </w:rPr>
        <w:t>Promover e implementar las tecnologías de la información como parte fundamental para los procesos de fiscalización.</w:t>
      </w:r>
    </w:p>
    <w:p w14:paraId="2BAB7026" w14:textId="77777777" w:rsidR="00FC0B5B" w:rsidRPr="00CB2BA0" w:rsidRDefault="00FC0B5B" w:rsidP="00FC0B5B">
      <w:pPr>
        <w:pStyle w:val="Prrafodelista"/>
        <w:numPr>
          <w:ilvl w:val="0"/>
          <w:numId w:val="20"/>
        </w:numPr>
        <w:jc w:val="both"/>
        <w:rPr>
          <w:rFonts w:ascii="Arial" w:hAnsi="Arial" w:cs="Arial"/>
          <w:sz w:val="24"/>
          <w:szCs w:val="24"/>
        </w:rPr>
      </w:pPr>
      <w:r w:rsidRPr="00CB2BA0">
        <w:rPr>
          <w:rFonts w:ascii="Arial" w:hAnsi="Arial" w:cs="Arial"/>
          <w:sz w:val="24"/>
          <w:szCs w:val="24"/>
        </w:rPr>
        <w:t>Transparentar la entrega de los informes trimestrales y/o indicadores de desempeño, así como la información de contratos y pagos a proveedores y/o contratistas.</w:t>
      </w:r>
    </w:p>
    <w:p w14:paraId="6AFA2C6E" w14:textId="77777777" w:rsidR="00FC0B5B" w:rsidRPr="00CB2BA0" w:rsidRDefault="00FC0B5B" w:rsidP="00FC0B5B">
      <w:pPr>
        <w:pStyle w:val="Prrafodelista"/>
        <w:numPr>
          <w:ilvl w:val="0"/>
          <w:numId w:val="20"/>
        </w:numPr>
        <w:jc w:val="both"/>
        <w:rPr>
          <w:rFonts w:ascii="Arial" w:hAnsi="Arial" w:cs="Arial"/>
          <w:sz w:val="24"/>
          <w:szCs w:val="24"/>
        </w:rPr>
      </w:pPr>
      <w:r w:rsidRPr="00CB2BA0">
        <w:rPr>
          <w:rFonts w:ascii="Arial" w:hAnsi="Arial" w:cs="Arial"/>
          <w:sz w:val="24"/>
          <w:szCs w:val="24"/>
        </w:rPr>
        <w:t>Fortalecer en coordinación con la Auditoría Superior de la Federación; la Secretaría de la Función Pública; las entidades de fiscalización superiores locales, y las secretarías o instancias homólogas encargadas del control interno en las entidades federativas las acciones de capacitación.</w:t>
      </w:r>
    </w:p>
    <w:p w14:paraId="1A8774DE" w14:textId="77777777" w:rsidR="00FC0B5B" w:rsidRPr="00CB2BA0" w:rsidRDefault="00FC0B5B" w:rsidP="00FC0B5B">
      <w:pPr>
        <w:jc w:val="both"/>
        <w:rPr>
          <w:rFonts w:ascii="Arial" w:hAnsi="Arial" w:cs="Arial"/>
          <w:sz w:val="24"/>
          <w:szCs w:val="24"/>
        </w:rPr>
      </w:pPr>
    </w:p>
    <w:p w14:paraId="599B3AB2" w14:textId="77777777" w:rsidR="00FC0B5B" w:rsidRPr="009756E8" w:rsidRDefault="00FC0B5B" w:rsidP="00FC0B5B">
      <w:pPr>
        <w:jc w:val="both"/>
        <w:rPr>
          <w:rFonts w:ascii="Arial" w:hAnsi="Arial" w:cs="Arial"/>
          <w:b/>
          <w:sz w:val="24"/>
          <w:szCs w:val="24"/>
        </w:rPr>
      </w:pPr>
      <w:r w:rsidRPr="009756E8">
        <w:rPr>
          <w:rFonts w:ascii="Arial" w:hAnsi="Arial" w:cs="Arial"/>
          <w:b/>
          <w:sz w:val="24"/>
          <w:szCs w:val="24"/>
        </w:rPr>
        <w:t>Consideraciones generales:</w:t>
      </w:r>
    </w:p>
    <w:p w14:paraId="33279488" w14:textId="77777777" w:rsidR="00FC0B5B" w:rsidRPr="00CB2BA0" w:rsidRDefault="00FC0B5B" w:rsidP="00FC0B5B">
      <w:pPr>
        <w:jc w:val="both"/>
        <w:rPr>
          <w:rFonts w:ascii="Arial" w:hAnsi="Arial" w:cs="Arial"/>
          <w:sz w:val="24"/>
          <w:szCs w:val="24"/>
        </w:rPr>
      </w:pPr>
    </w:p>
    <w:p w14:paraId="107A0565" w14:textId="77777777" w:rsidR="00FC0B5B" w:rsidRPr="00CB2BA0" w:rsidRDefault="00FC0B5B" w:rsidP="00FC0B5B">
      <w:pPr>
        <w:pStyle w:val="Prrafodelista"/>
        <w:numPr>
          <w:ilvl w:val="0"/>
          <w:numId w:val="21"/>
        </w:numPr>
        <w:jc w:val="both"/>
        <w:rPr>
          <w:rFonts w:ascii="Arial" w:hAnsi="Arial" w:cs="Arial"/>
          <w:sz w:val="24"/>
          <w:szCs w:val="24"/>
        </w:rPr>
      </w:pPr>
      <w:r w:rsidRPr="00CB2BA0">
        <w:rPr>
          <w:rFonts w:ascii="Arial" w:hAnsi="Arial" w:cs="Arial"/>
          <w:sz w:val="24"/>
          <w:szCs w:val="24"/>
        </w:rPr>
        <w:t>Emitir reglas de operación claras y prácticas para el adecuado ejercicio y destino de los recursos del fondo, así como actualizar los objetivos que lo rigen.</w:t>
      </w:r>
    </w:p>
    <w:p w14:paraId="342D9AF4" w14:textId="77777777" w:rsidR="00FC0B5B" w:rsidRPr="00CB2BA0" w:rsidRDefault="00FC0B5B" w:rsidP="00FC0B5B">
      <w:pPr>
        <w:pStyle w:val="Prrafodelista"/>
        <w:numPr>
          <w:ilvl w:val="0"/>
          <w:numId w:val="21"/>
        </w:numPr>
        <w:jc w:val="both"/>
        <w:rPr>
          <w:rFonts w:ascii="Arial" w:hAnsi="Arial" w:cs="Arial"/>
          <w:sz w:val="24"/>
          <w:szCs w:val="24"/>
        </w:rPr>
      </w:pPr>
      <w:r w:rsidRPr="00CB2BA0">
        <w:rPr>
          <w:rFonts w:ascii="Arial" w:hAnsi="Arial" w:cs="Arial"/>
          <w:sz w:val="24"/>
          <w:szCs w:val="24"/>
        </w:rPr>
        <w:t>Mayor vigilancia de los recursos, a través de la coordinación efectiva entre las entidades fiscalizadoras.</w:t>
      </w:r>
    </w:p>
    <w:p w14:paraId="549E635F" w14:textId="77777777" w:rsidR="00FC0B5B" w:rsidRPr="00CB2BA0" w:rsidRDefault="00FC0B5B" w:rsidP="00FC0B5B">
      <w:pPr>
        <w:pStyle w:val="Prrafodelista"/>
        <w:numPr>
          <w:ilvl w:val="0"/>
          <w:numId w:val="21"/>
        </w:numPr>
        <w:jc w:val="both"/>
        <w:rPr>
          <w:rFonts w:ascii="Arial" w:hAnsi="Arial" w:cs="Arial"/>
          <w:sz w:val="24"/>
          <w:szCs w:val="24"/>
        </w:rPr>
      </w:pPr>
      <w:r w:rsidRPr="00CB2BA0">
        <w:rPr>
          <w:rFonts w:ascii="Arial" w:hAnsi="Arial" w:cs="Arial"/>
          <w:sz w:val="24"/>
          <w:szCs w:val="24"/>
        </w:rPr>
        <w:t>Es importante señalar, que los recursos que son entregados a las Dependencias y Entidades por concepto de Participaciones Federales, son integrados con los ingresos propios del Estado, lo cual suele presentar complicaciones al momento de la comprobación del ejercicio, por lo que se sugiere diseñar controles para la adecuada separación de los recursos.</w:t>
      </w:r>
    </w:p>
    <w:p w14:paraId="5B572075" w14:textId="77777777" w:rsidR="00FC0B5B" w:rsidRPr="00CB2BA0" w:rsidRDefault="00FC0B5B" w:rsidP="00FC0B5B">
      <w:pPr>
        <w:pStyle w:val="Prrafodelista"/>
        <w:numPr>
          <w:ilvl w:val="0"/>
          <w:numId w:val="21"/>
        </w:numPr>
        <w:jc w:val="both"/>
        <w:rPr>
          <w:rFonts w:ascii="Arial" w:hAnsi="Arial" w:cs="Arial"/>
          <w:sz w:val="24"/>
          <w:szCs w:val="24"/>
        </w:rPr>
      </w:pPr>
      <w:r w:rsidRPr="00CB2BA0">
        <w:rPr>
          <w:rFonts w:ascii="Arial" w:hAnsi="Arial" w:cs="Arial"/>
          <w:sz w:val="24"/>
          <w:szCs w:val="24"/>
        </w:rPr>
        <w:lastRenderedPageBreak/>
        <w:t>Transparentar la aplicación del fondo en todos los aspectos (nómina, adquisiciones, estadísticas de servidores públicos contratados en base al objetivo del fondo, evaluación del desempeño, etc., y estos sean publicados en la página de internet de la Dependencia o Entidad).</w:t>
      </w:r>
    </w:p>
    <w:p w14:paraId="38850664" w14:textId="77777777" w:rsidR="00FC0B5B" w:rsidRPr="00CB2BA0" w:rsidRDefault="00FC0B5B" w:rsidP="00FC0B5B">
      <w:pPr>
        <w:pStyle w:val="Prrafodelista"/>
        <w:numPr>
          <w:ilvl w:val="0"/>
          <w:numId w:val="21"/>
        </w:numPr>
        <w:jc w:val="both"/>
        <w:rPr>
          <w:rFonts w:ascii="Arial" w:hAnsi="Arial" w:cs="Arial"/>
          <w:sz w:val="24"/>
          <w:szCs w:val="24"/>
        </w:rPr>
      </w:pPr>
      <w:r w:rsidRPr="00CB2BA0">
        <w:rPr>
          <w:rFonts w:ascii="Arial" w:hAnsi="Arial" w:cs="Arial"/>
          <w:sz w:val="24"/>
          <w:szCs w:val="24"/>
        </w:rPr>
        <w:t>Fortalecer el control de ingreso y egresos de los fondos por parte de las Secretarías de Finanzas de los Estados.</w:t>
      </w:r>
    </w:p>
    <w:p w14:paraId="6252F4A8" w14:textId="77777777" w:rsidR="00FC0B5B" w:rsidRPr="00CB2BA0" w:rsidRDefault="00FC0B5B" w:rsidP="00FC0B5B">
      <w:pPr>
        <w:pStyle w:val="Prrafodelista"/>
        <w:numPr>
          <w:ilvl w:val="0"/>
          <w:numId w:val="21"/>
        </w:numPr>
        <w:jc w:val="both"/>
        <w:rPr>
          <w:rFonts w:ascii="Arial" w:hAnsi="Arial" w:cs="Arial"/>
          <w:sz w:val="24"/>
          <w:szCs w:val="24"/>
        </w:rPr>
      </w:pPr>
      <w:r w:rsidRPr="00CB2BA0">
        <w:rPr>
          <w:rFonts w:ascii="Arial" w:hAnsi="Arial" w:cs="Arial"/>
          <w:sz w:val="24"/>
          <w:szCs w:val="24"/>
        </w:rPr>
        <w:t>Alinear en la medida de lo posible la normativa local a las disposiciones de la normativa federal, en materia de obras y adquisiciones.</w:t>
      </w:r>
    </w:p>
    <w:p w14:paraId="2380B211" w14:textId="77777777" w:rsidR="00FC0B5B" w:rsidRPr="00CB2BA0" w:rsidRDefault="00FC0B5B" w:rsidP="00FC0B5B">
      <w:pPr>
        <w:pStyle w:val="Prrafodelista"/>
        <w:numPr>
          <w:ilvl w:val="0"/>
          <w:numId w:val="21"/>
        </w:numPr>
        <w:jc w:val="both"/>
        <w:rPr>
          <w:rFonts w:ascii="Arial" w:hAnsi="Arial" w:cs="Arial"/>
          <w:sz w:val="24"/>
          <w:szCs w:val="24"/>
        </w:rPr>
      </w:pPr>
      <w:r w:rsidRPr="00CB2BA0">
        <w:rPr>
          <w:rFonts w:ascii="Arial" w:hAnsi="Arial" w:cs="Arial"/>
          <w:sz w:val="24"/>
          <w:szCs w:val="24"/>
        </w:rPr>
        <w:t>Promover y fortalecer el control interno, así como el seguimiento para subsanar las debilidades detectadas por el mismo.</w:t>
      </w:r>
    </w:p>
    <w:p w14:paraId="1B3BF245" w14:textId="77777777" w:rsidR="00FC0B5B" w:rsidRPr="00CB2BA0" w:rsidRDefault="00FC0B5B" w:rsidP="00FC0B5B">
      <w:pPr>
        <w:jc w:val="both"/>
        <w:rPr>
          <w:rFonts w:ascii="Arial" w:hAnsi="Arial" w:cs="Arial"/>
          <w:sz w:val="24"/>
          <w:szCs w:val="24"/>
        </w:rPr>
      </w:pPr>
    </w:p>
    <w:p w14:paraId="65CA0E77" w14:textId="77777777" w:rsidR="00FC0B5B" w:rsidRPr="009756E8" w:rsidRDefault="00FC0B5B" w:rsidP="00FC0B5B">
      <w:pPr>
        <w:pStyle w:val="Prrafodelista"/>
        <w:numPr>
          <w:ilvl w:val="1"/>
          <w:numId w:val="19"/>
        </w:numPr>
        <w:jc w:val="both"/>
        <w:rPr>
          <w:rFonts w:ascii="Arial" w:hAnsi="Arial" w:cs="Arial"/>
          <w:b/>
          <w:sz w:val="24"/>
          <w:szCs w:val="24"/>
        </w:rPr>
      </w:pPr>
      <w:r w:rsidRPr="009756E8">
        <w:rPr>
          <w:rFonts w:ascii="Arial" w:hAnsi="Arial" w:cs="Arial"/>
          <w:b/>
          <w:sz w:val="24"/>
          <w:szCs w:val="24"/>
        </w:rPr>
        <w:t>Aspectos a considerar para la debida integración de documentos comprobatorios del ejercicio de los recursos</w:t>
      </w:r>
    </w:p>
    <w:p w14:paraId="1399DD6D" w14:textId="77777777" w:rsidR="00FC0B5B" w:rsidRPr="00CB2BA0" w:rsidRDefault="00FC0B5B" w:rsidP="00FC0B5B">
      <w:pPr>
        <w:jc w:val="both"/>
        <w:rPr>
          <w:rFonts w:ascii="Arial" w:hAnsi="Arial" w:cs="Arial"/>
          <w:sz w:val="24"/>
          <w:szCs w:val="24"/>
        </w:rPr>
      </w:pPr>
    </w:p>
    <w:p w14:paraId="10D04B2F" w14:textId="265C90B0" w:rsidR="00FC0B5B" w:rsidRPr="00CB2BA0" w:rsidRDefault="00FC0B5B" w:rsidP="00FC0B5B">
      <w:pPr>
        <w:jc w:val="both"/>
        <w:rPr>
          <w:rFonts w:ascii="Arial" w:hAnsi="Arial" w:cs="Arial"/>
          <w:sz w:val="24"/>
          <w:szCs w:val="24"/>
        </w:rPr>
      </w:pPr>
      <w:r w:rsidRPr="00CB2BA0">
        <w:rPr>
          <w:rFonts w:ascii="Arial" w:hAnsi="Arial" w:cs="Arial"/>
          <w:sz w:val="24"/>
          <w:szCs w:val="24"/>
        </w:rPr>
        <w:t xml:space="preserve">A continuación, se relacionan los documentos requeridos para integrar los documentos comprobatorios del ejercicio de los recursos, clasificándolos en </w:t>
      </w:r>
      <w:r w:rsidR="00B800B3">
        <w:rPr>
          <w:rFonts w:ascii="Arial" w:hAnsi="Arial" w:cs="Arial"/>
          <w:sz w:val="24"/>
          <w:szCs w:val="24"/>
        </w:rPr>
        <w:t>ocho</w:t>
      </w:r>
      <w:r w:rsidRPr="00CB2BA0">
        <w:rPr>
          <w:rFonts w:ascii="Arial" w:hAnsi="Arial" w:cs="Arial"/>
          <w:sz w:val="24"/>
          <w:szCs w:val="24"/>
        </w:rPr>
        <w:t xml:space="preserve"> apartados, los cuales comprenden el procedimiento de auditoría, ya que es indispensable contar con criterios bien definidos al momento de presentar la documentación comprobatoria y la integración de los expedientes, con la finalidad de reducir y evitar las observaciones por parte de los entres fiscalizadores. </w:t>
      </w:r>
    </w:p>
    <w:p w14:paraId="21E10079" w14:textId="77777777" w:rsidR="00FC0B5B" w:rsidRPr="00CB2BA0" w:rsidRDefault="00FC0B5B" w:rsidP="00FC0B5B">
      <w:pPr>
        <w:jc w:val="both"/>
        <w:rPr>
          <w:rFonts w:ascii="Arial" w:hAnsi="Arial" w:cs="Arial"/>
          <w:sz w:val="24"/>
          <w:szCs w:val="24"/>
        </w:rPr>
      </w:pPr>
    </w:p>
    <w:p w14:paraId="4FDBF6DA" w14:textId="77777777" w:rsidR="00FC0B5B" w:rsidRPr="00CB2BA0" w:rsidRDefault="00FC0B5B" w:rsidP="00FC0B5B">
      <w:pPr>
        <w:jc w:val="both"/>
        <w:rPr>
          <w:rFonts w:ascii="Arial" w:hAnsi="Arial" w:cs="Arial"/>
          <w:sz w:val="24"/>
          <w:szCs w:val="24"/>
        </w:rPr>
      </w:pPr>
      <w:r w:rsidRPr="00CB2BA0">
        <w:rPr>
          <w:rFonts w:ascii="Arial" w:hAnsi="Arial" w:cs="Arial"/>
          <w:noProof/>
          <w:sz w:val="24"/>
          <w:szCs w:val="24"/>
          <w:lang w:eastAsia="es-MX"/>
        </w:rPr>
        <w:drawing>
          <wp:inline distT="0" distB="0" distL="0" distR="0" wp14:anchorId="2FA10111" wp14:editId="4EB2B60D">
            <wp:extent cx="5486400" cy="3200400"/>
            <wp:effectExtent l="0" t="0" r="0" b="19050"/>
            <wp:docPr id="7"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499DB51" w14:textId="77777777" w:rsidR="00FC0B5B" w:rsidRPr="00CB2BA0" w:rsidRDefault="00FC0B5B" w:rsidP="00FC0B5B">
      <w:pPr>
        <w:jc w:val="both"/>
        <w:rPr>
          <w:rFonts w:ascii="Arial" w:hAnsi="Arial" w:cs="Arial"/>
          <w:sz w:val="24"/>
          <w:szCs w:val="24"/>
        </w:rPr>
      </w:pPr>
    </w:p>
    <w:p w14:paraId="5D7F8F43" w14:textId="77777777" w:rsidR="00FC0B5B" w:rsidRDefault="00FC0B5B" w:rsidP="00FC0B5B">
      <w:pPr>
        <w:jc w:val="both"/>
        <w:rPr>
          <w:rFonts w:ascii="Arial" w:hAnsi="Arial" w:cs="Arial"/>
          <w:sz w:val="24"/>
          <w:szCs w:val="24"/>
        </w:rPr>
      </w:pPr>
      <w:r w:rsidRPr="00CB2BA0">
        <w:rPr>
          <w:rFonts w:ascii="Arial" w:hAnsi="Arial" w:cs="Arial"/>
          <w:sz w:val="24"/>
          <w:szCs w:val="24"/>
        </w:rPr>
        <w:lastRenderedPageBreak/>
        <w:t>Al respecto, se relacionan consideraciones a tomar en cuenta para la comprobación y ejecución de los recursos con el objeto de prevenir futuras observaciones:</w:t>
      </w:r>
    </w:p>
    <w:p w14:paraId="01A7D935" w14:textId="77777777" w:rsidR="009756E8" w:rsidRPr="00CB2BA0" w:rsidRDefault="009756E8" w:rsidP="00FC0B5B">
      <w:pPr>
        <w:jc w:val="both"/>
        <w:rPr>
          <w:rFonts w:ascii="Arial" w:hAnsi="Arial" w:cs="Arial"/>
          <w:sz w:val="24"/>
          <w:szCs w:val="24"/>
        </w:rPr>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00"/>
        <w:gridCol w:w="3000"/>
        <w:gridCol w:w="3460"/>
      </w:tblGrid>
      <w:tr w:rsidR="00FC0B5B" w:rsidRPr="009756E8" w14:paraId="035E705E" w14:textId="77777777" w:rsidTr="009756E8">
        <w:trPr>
          <w:trHeight w:val="20"/>
        </w:trPr>
        <w:tc>
          <w:tcPr>
            <w:tcW w:w="2500" w:type="dxa"/>
            <w:shd w:val="clear" w:color="auto" w:fill="C5E0B3" w:themeFill="accent6" w:themeFillTint="66"/>
            <w:vAlign w:val="center"/>
            <w:hideMark/>
          </w:tcPr>
          <w:p w14:paraId="1F446DE5" w14:textId="77777777" w:rsidR="00FC0B5B" w:rsidRPr="009756E8" w:rsidRDefault="00FC0B5B" w:rsidP="009756E8">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Apartado</w:t>
            </w:r>
          </w:p>
        </w:tc>
        <w:tc>
          <w:tcPr>
            <w:tcW w:w="3000" w:type="dxa"/>
            <w:shd w:val="clear" w:color="auto" w:fill="C5E0B3" w:themeFill="accent6" w:themeFillTint="66"/>
            <w:vAlign w:val="center"/>
            <w:hideMark/>
          </w:tcPr>
          <w:p w14:paraId="1F38A10B" w14:textId="77777777" w:rsidR="00FC0B5B" w:rsidRPr="009756E8" w:rsidRDefault="00FC0B5B" w:rsidP="009756E8">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Concepto</w:t>
            </w:r>
          </w:p>
        </w:tc>
        <w:tc>
          <w:tcPr>
            <w:tcW w:w="3460" w:type="dxa"/>
            <w:shd w:val="clear" w:color="auto" w:fill="C5E0B3" w:themeFill="accent6" w:themeFillTint="66"/>
            <w:vAlign w:val="center"/>
            <w:hideMark/>
          </w:tcPr>
          <w:p w14:paraId="5A86E079" w14:textId="77777777" w:rsidR="00FC0B5B" w:rsidRPr="009756E8" w:rsidRDefault="00FC0B5B" w:rsidP="009756E8">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Características de la documentación</w:t>
            </w:r>
          </w:p>
        </w:tc>
      </w:tr>
      <w:tr w:rsidR="00FC0B5B" w:rsidRPr="009756E8" w14:paraId="309D1AEF" w14:textId="77777777" w:rsidTr="000F0972">
        <w:trPr>
          <w:trHeight w:val="20"/>
        </w:trPr>
        <w:tc>
          <w:tcPr>
            <w:tcW w:w="2500" w:type="dxa"/>
            <w:vMerge w:val="restart"/>
            <w:shd w:val="clear" w:color="auto" w:fill="auto"/>
            <w:vAlign w:val="center"/>
            <w:hideMark/>
          </w:tcPr>
          <w:p w14:paraId="59097F3E"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Transferencia de recursos</w:t>
            </w:r>
          </w:p>
        </w:tc>
        <w:tc>
          <w:tcPr>
            <w:tcW w:w="3000" w:type="dxa"/>
            <w:shd w:val="clear" w:color="auto" w:fill="auto"/>
            <w:vAlign w:val="center"/>
            <w:hideMark/>
          </w:tcPr>
          <w:p w14:paraId="5C63571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1.- Contrato de apertura de la cuenta bancaria.</w:t>
            </w:r>
          </w:p>
        </w:tc>
        <w:tc>
          <w:tcPr>
            <w:tcW w:w="3460" w:type="dxa"/>
            <w:shd w:val="clear" w:color="auto" w:fill="auto"/>
            <w:vAlign w:val="center"/>
            <w:hideMark/>
          </w:tcPr>
          <w:p w14:paraId="6A11314C"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Contrato de apertura de la cuenta bancaria que contenga el anexo de registro de firmas autorizadas. Cabe señalar que la cuenta bancaria en comento deberá ser exclusiva para el manejo de los recursos federales.</w:t>
            </w:r>
          </w:p>
        </w:tc>
      </w:tr>
      <w:tr w:rsidR="00FC0B5B" w:rsidRPr="009756E8" w14:paraId="01D730C5" w14:textId="77777777" w:rsidTr="000F0972">
        <w:trPr>
          <w:trHeight w:val="20"/>
        </w:trPr>
        <w:tc>
          <w:tcPr>
            <w:tcW w:w="2500" w:type="dxa"/>
            <w:vMerge/>
            <w:vAlign w:val="center"/>
            <w:hideMark/>
          </w:tcPr>
          <w:p w14:paraId="161F1300"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4128A81D"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2.- Estados de cuenta bancarios.</w:t>
            </w:r>
          </w:p>
        </w:tc>
        <w:tc>
          <w:tcPr>
            <w:tcW w:w="3460" w:type="dxa"/>
            <w:shd w:val="clear" w:color="auto" w:fill="auto"/>
            <w:vAlign w:val="center"/>
            <w:hideMark/>
          </w:tcPr>
          <w:p w14:paraId="4FC63474"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Estados de cuenta bancarios</w:t>
            </w:r>
            <w:r w:rsidRPr="009756E8">
              <w:rPr>
                <w:rFonts w:ascii="Arial" w:eastAsia="Times New Roman" w:hAnsi="Arial" w:cs="Arial"/>
                <w:color w:val="000000"/>
                <w:sz w:val="20"/>
                <w:szCs w:val="20"/>
                <w:lang w:eastAsia="es-MX"/>
              </w:rPr>
              <w:br/>
              <w:t>mensuales desde la fecha en que</w:t>
            </w:r>
            <w:r w:rsidRPr="009756E8">
              <w:rPr>
                <w:rFonts w:ascii="Arial" w:eastAsia="Times New Roman" w:hAnsi="Arial" w:cs="Arial"/>
                <w:color w:val="000000"/>
                <w:sz w:val="20"/>
                <w:szCs w:val="20"/>
                <w:lang w:eastAsia="es-MX"/>
              </w:rPr>
              <w:br/>
              <w:t>se apertura la cuenta y hasta la</w:t>
            </w:r>
            <w:r w:rsidRPr="009756E8">
              <w:rPr>
                <w:rFonts w:ascii="Arial" w:eastAsia="Times New Roman" w:hAnsi="Arial" w:cs="Arial"/>
                <w:color w:val="000000"/>
                <w:sz w:val="20"/>
                <w:szCs w:val="20"/>
                <w:lang w:eastAsia="es-MX"/>
              </w:rPr>
              <w:br/>
              <w:t>cancelación de la misma.</w:t>
            </w:r>
          </w:p>
        </w:tc>
      </w:tr>
      <w:tr w:rsidR="00FC0B5B" w:rsidRPr="009756E8" w14:paraId="03E25292" w14:textId="77777777" w:rsidTr="000F0972">
        <w:trPr>
          <w:trHeight w:val="20"/>
        </w:trPr>
        <w:tc>
          <w:tcPr>
            <w:tcW w:w="2500" w:type="dxa"/>
            <w:vMerge/>
            <w:vAlign w:val="center"/>
            <w:hideMark/>
          </w:tcPr>
          <w:p w14:paraId="377694E3"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5B3A9F75"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3.- Solicitud de recursos de la entidad federativa.</w:t>
            </w:r>
          </w:p>
        </w:tc>
        <w:tc>
          <w:tcPr>
            <w:tcW w:w="3460" w:type="dxa"/>
            <w:shd w:val="clear" w:color="auto" w:fill="auto"/>
            <w:vAlign w:val="center"/>
            <w:hideMark/>
          </w:tcPr>
          <w:p w14:paraId="730437EC"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Documento a través del cual la dependencia federal dio aviso al estado de la disponibilidad de los recursos federales, así como los recibos oficiales emitidos por la tesorería estatal.</w:t>
            </w:r>
          </w:p>
        </w:tc>
      </w:tr>
      <w:tr w:rsidR="00FC0B5B" w:rsidRPr="009756E8" w14:paraId="471898C0" w14:textId="77777777" w:rsidTr="000F0972">
        <w:trPr>
          <w:trHeight w:val="20"/>
        </w:trPr>
        <w:tc>
          <w:tcPr>
            <w:tcW w:w="2500" w:type="dxa"/>
            <w:vMerge/>
            <w:vAlign w:val="center"/>
            <w:hideMark/>
          </w:tcPr>
          <w:p w14:paraId="1C866C01"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6BEA2858"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 xml:space="preserve">4.- Cartera de proyectos (en caso de aplicar). </w:t>
            </w:r>
          </w:p>
        </w:tc>
        <w:tc>
          <w:tcPr>
            <w:tcW w:w="3460" w:type="dxa"/>
            <w:shd w:val="clear" w:color="auto" w:fill="auto"/>
            <w:vAlign w:val="center"/>
            <w:hideMark/>
          </w:tcPr>
          <w:p w14:paraId="111AAAD6"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Cartera de proyectos de la dependencia ejecutora</w:t>
            </w:r>
          </w:p>
        </w:tc>
      </w:tr>
      <w:tr w:rsidR="00FC0B5B" w:rsidRPr="009756E8" w14:paraId="5BC717C3" w14:textId="77777777" w:rsidTr="000F0972">
        <w:trPr>
          <w:trHeight w:val="20"/>
        </w:trPr>
        <w:tc>
          <w:tcPr>
            <w:tcW w:w="2500" w:type="dxa"/>
            <w:vMerge/>
            <w:vAlign w:val="center"/>
            <w:hideMark/>
          </w:tcPr>
          <w:p w14:paraId="15A8E2C2"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B0FDA43"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5.- Calendario de ejecución (en caso de aplicar).</w:t>
            </w:r>
          </w:p>
        </w:tc>
        <w:tc>
          <w:tcPr>
            <w:tcW w:w="3460" w:type="dxa"/>
            <w:shd w:val="clear" w:color="auto" w:fill="auto"/>
            <w:vAlign w:val="center"/>
            <w:hideMark/>
          </w:tcPr>
          <w:p w14:paraId="7A34EF23"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Calendario de ejecución anexo al convenio celebrado.</w:t>
            </w:r>
          </w:p>
        </w:tc>
      </w:tr>
      <w:tr w:rsidR="00FC0B5B" w:rsidRPr="009756E8" w14:paraId="693D6B9C" w14:textId="77777777" w:rsidTr="000F0972">
        <w:trPr>
          <w:trHeight w:val="20"/>
        </w:trPr>
        <w:tc>
          <w:tcPr>
            <w:tcW w:w="2500" w:type="dxa"/>
            <w:vMerge/>
            <w:vAlign w:val="center"/>
            <w:hideMark/>
          </w:tcPr>
          <w:p w14:paraId="7FE76C07"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6C2840BA"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6.- Nota técnica o el estudio de análisis costo-beneficio simplificado (en caso de aplicar).</w:t>
            </w:r>
          </w:p>
        </w:tc>
        <w:tc>
          <w:tcPr>
            <w:tcW w:w="3460" w:type="dxa"/>
            <w:shd w:val="clear" w:color="auto" w:fill="auto"/>
            <w:vAlign w:val="center"/>
            <w:hideMark/>
          </w:tcPr>
          <w:p w14:paraId="5F4806E5"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Nota técnica o del estudio de costo beneficio simplificado, debidamente validado y firmado.</w:t>
            </w:r>
          </w:p>
        </w:tc>
      </w:tr>
      <w:tr w:rsidR="00FC0B5B" w:rsidRPr="009756E8" w14:paraId="0B0FB99D" w14:textId="77777777" w:rsidTr="000F0972">
        <w:trPr>
          <w:trHeight w:val="20"/>
        </w:trPr>
        <w:tc>
          <w:tcPr>
            <w:tcW w:w="2500" w:type="dxa"/>
            <w:vMerge/>
            <w:vAlign w:val="center"/>
            <w:hideMark/>
          </w:tcPr>
          <w:p w14:paraId="74563981"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2AE8F10B"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7.- Transferencias bancarias.</w:t>
            </w:r>
          </w:p>
        </w:tc>
        <w:tc>
          <w:tcPr>
            <w:tcW w:w="3460" w:type="dxa"/>
            <w:shd w:val="clear" w:color="auto" w:fill="auto"/>
            <w:vAlign w:val="center"/>
            <w:hideMark/>
          </w:tcPr>
          <w:p w14:paraId="4573EB1E"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Comprobantes de transferencias bancarias por las ministraciones de recursos, tanto federales como estatales</w:t>
            </w:r>
          </w:p>
        </w:tc>
      </w:tr>
      <w:tr w:rsidR="00FC0B5B" w:rsidRPr="009756E8" w14:paraId="2EF122F7" w14:textId="77777777" w:rsidTr="000F0972">
        <w:trPr>
          <w:trHeight w:val="20"/>
        </w:trPr>
        <w:tc>
          <w:tcPr>
            <w:tcW w:w="2500" w:type="dxa"/>
            <w:vMerge w:val="restart"/>
            <w:shd w:val="clear" w:color="auto" w:fill="auto"/>
            <w:vAlign w:val="center"/>
            <w:hideMark/>
          </w:tcPr>
          <w:p w14:paraId="75507C19"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Registro e información financiera de las operaciones</w:t>
            </w:r>
          </w:p>
        </w:tc>
        <w:tc>
          <w:tcPr>
            <w:tcW w:w="3000" w:type="dxa"/>
            <w:shd w:val="clear" w:color="auto" w:fill="auto"/>
            <w:vAlign w:val="center"/>
            <w:hideMark/>
          </w:tcPr>
          <w:p w14:paraId="2BB5B08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1.- Registros contables y presupuestarios.</w:t>
            </w:r>
          </w:p>
        </w:tc>
        <w:tc>
          <w:tcPr>
            <w:tcW w:w="3460" w:type="dxa"/>
            <w:shd w:val="clear" w:color="auto" w:fill="auto"/>
            <w:vAlign w:val="center"/>
            <w:hideMark/>
          </w:tcPr>
          <w:p w14:paraId="74424F82"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Auxiliares contables y presupuestarios, pólizas en los que se reflejen los registros correspondientes.</w:t>
            </w:r>
          </w:p>
        </w:tc>
      </w:tr>
      <w:tr w:rsidR="00FC0B5B" w:rsidRPr="009756E8" w14:paraId="62272131" w14:textId="77777777" w:rsidTr="000F0972">
        <w:trPr>
          <w:trHeight w:val="20"/>
        </w:trPr>
        <w:tc>
          <w:tcPr>
            <w:tcW w:w="2500" w:type="dxa"/>
            <w:vMerge/>
            <w:vAlign w:val="center"/>
            <w:hideMark/>
          </w:tcPr>
          <w:p w14:paraId="73D73791"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227BADB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2.- Avances físico-financieros.</w:t>
            </w:r>
          </w:p>
        </w:tc>
        <w:tc>
          <w:tcPr>
            <w:tcW w:w="3460" w:type="dxa"/>
            <w:shd w:val="clear" w:color="auto" w:fill="auto"/>
            <w:vAlign w:val="center"/>
            <w:hideMark/>
          </w:tcPr>
          <w:p w14:paraId="7DC3F8A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Informes trimestrales.</w:t>
            </w:r>
          </w:p>
        </w:tc>
      </w:tr>
      <w:tr w:rsidR="00FC0B5B" w:rsidRPr="009756E8" w14:paraId="0722F09B" w14:textId="77777777" w:rsidTr="000F0972">
        <w:trPr>
          <w:trHeight w:val="20"/>
        </w:trPr>
        <w:tc>
          <w:tcPr>
            <w:tcW w:w="2500" w:type="dxa"/>
            <w:vMerge/>
            <w:vAlign w:val="center"/>
            <w:hideMark/>
          </w:tcPr>
          <w:p w14:paraId="12313ED4"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643FF52"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3.- Estados de cuenta.</w:t>
            </w:r>
          </w:p>
        </w:tc>
        <w:tc>
          <w:tcPr>
            <w:tcW w:w="3460" w:type="dxa"/>
            <w:shd w:val="clear" w:color="auto" w:fill="auto"/>
            <w:vAlign w:val="center"/>
            <w:hideMark/>
          </w:tcPr>
          <w:p w14:paraId="79A69805"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Estados de cuenta bancarios mensuales desde la fecha en que se apertura la cuenta y hasta la cancelación de la misma.</w:t>
            </w:r>
          </w:p>
        </w:tc>
      </w:tr>
      <w:tr w:rsidR="00FC0B5B" w:rsidRPr="009756E8" w14:paraId="7097843F" w14:textId="77777777" w:rsidTr="000F0972">
        <w:trPr>
          <w:trHeight w:val="20"/>
        </w:trPr>
        <w:tc>
          <w:tcPr>
            <w:tcW w:w="2500" w:type="dxa"/>
            <w:vMerge/>
            <w:vAlign w:val="center"/>
            <w:hideMark/>
          </w:tcPr>
          <w:p w14:paraId="6275164A"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40E506A0"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4.- Conciliaciones bancarias.</w:t>
            </w:r>
          </w:p>
        </w:tc>
        <w:tc>
          <w:tcPr>
            <w:tcW w:w="3460" w:type="dxa"/>
            <w:shd w:val="clear" w:color="auto" w:fill="auto"/>
            <w:vAlign w:val="center"/>
            <w:hideMark/>
          </w:tcPr>
          <w:p w14:paraId="2D3BF7A0"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Conciliaciones bancarias mensuales debidamente autorizadas, desde la fecha en que se apertura la cuenta y hasta la cancelación de la misma con los saldos conciliados.</w:t>
            </w:r>
          </w:p>
        </w:tc>
      </w:tr>
      <w:tr w:rsidR="00FC0B5B" w:rsidRPr="009756E8" w14:paraId="43666358" w14:textId="77777777" w:rsidTr="000F0972">
        <w:trPr>
          <w:trHeight w:val="20"/>
        </w:trPr>
        <w:tc>
          <w:tcPr>
            <w:tcW w:w="2500" w:type="dxa"/>
            <w:vMerge/>
            <w:vAlign w:val="center"/>
            <w:hideMark/>
          </w:tcPr>
          <w:p w14:paraId="7FB95DE4"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5540185"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5.- Cierre del ejercicio presupuestal. *en su caso, reintegros realizados a la TESOFE</w:t>
            </w:r>
          </w:p>
        </w:tc>
        <w:tc>
          <w:tcPr>
            <w:tcW w:w="3460" w:type="dxa"/>
            <w:shd w:val="clear" w:color="auto" w:fill="auto"/>
            <w:vAlign w:val="center"/>
            <w:hideMark/>
          </w:tcPr>
          <w:p w14:paraId="02CB1161"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Cierre del ejercicio con las firmas autorizadas. Línea de captura, recibo oficial, transferencia electrónica, estado de cuenta bancaria que demuestre la transferencia y el origen del recurso y pólizas contables.</w:t>
            </w:r>
          </w:p>
        </w:tc>
      </w:tr>
      <w:tr w:rsidR="009756E8" w:rsidRPr="009756E8" w14:paraId="20E2B82C" w14:textId="77777777" w:rsidTr="000F0972">
        <w:trPr>
          <w:trHeight w:val="20"/>
        </w:trPr>
        <w:tc>
          <w:tcPr>
            <w:tcW w:w="2500" w:type="dxa"/>
            <w:shd w:val="clear" w:color="auto" w:fill="C5E0B3" w:themeFill="accent6" w:themeFillTint="66"/>
            <w:vAlign w:val="center"/>
            <w:hideMark/>
          </w:tcPr>
          <w:p w14:paraId="49FE0E26" w14:textId="77777777" w:rsidR="009756E8" w:rsidRPr="009756E8" w:rsidRDefault="009756E8"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lastRenderedPageBreak/>
              <w:t>Apartado</w:t>
            </w:r>
          </w:p>
        </w:tc>
        <w:tc>
          <w:tcPr>
            <w:tcW w:w="3000" w:type="dxa"/>
            <w:shd w:val="clear" w:color="auto" w:fill="C5E0B3" w:themeFill="accent6" w:themeFillTint="66"/>
            <w:vAlign w:val="center"/>
            <w:hideMark/>
          </w:tcPr>
          <w:p w14:paraId="327196DB" w14:textId="77777777" w:rsidR="009756E8" w:rsidRPr="009756E8" w:rsidRDefault="009756E8"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Concepto</w:t>
            </w:r>
          </w:p>
        </w:tc>
        <w:tc>
          <w:tcPr>
            <w:tcW w:w="3460" w:type="dxa"/>
            <w:shd w:val="clear" w:color="auto" w:fill="C5E0B3" w:themeFill="accent6" w:themeFillTint="66"/>
            <w:vAlign w:val="center"/>
            <w:hideMark/>
          </w:tcPr>
          <w:p w14:paraId="4AB51B3C" w14:textId="77777777" w:rsidR="009756E8" w:rsidRPr="009756E8" w:rsidRDefault="009756E8"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Características de la documentación</w:t>
            </w:r>
          </w:p>
        </w:tc>
      </w:tr>
      <w:tr w:rsidR="00FC0B5B" w:rsidRPr="009756E8" w14:paraId="274ECB1E" w14:textId="77777777" w:rsidTr="000F0972">
        <w:trPr>
          <w:trHeight w:val="20"/>
        </w:trPr>
        <w:tc>
          <w:tcPr>
            <w:tcW w:w="2500" w:type="dxa"/>
            <w:vMerge w:val="restart"/>
            <w:shd w:val="clear" w:color="auto" w:fill="auto"/>
            <w:vAlign w:val="center"/>
            <w:hideMark/>
          </w:tcPr>
          <w:p w14:paraId="34C02EA0"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Destino de los recursos</w:t>
            </w:r>
          </w:p>
        </w:tc>
        <w:tc>
          <w:tcPr>
            <w:tcW w:w="3000" w:type="dxa"/>
            <w:shd w:val="clear" w:color="auto" w:fill="auto"/>
            <w:vAlign w:val="center"/>
            <w:hideMark/>
          </w:tcPr>
          <w:p w14:paraId="4BC98445"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1.- Registros contables y presupuestarios.</w:t>
            </w:r>
          </w:p>
        </w:tc>
        <w:tc>
          <w:tcPr>
            <w:tcW w:w="3460" w:type="dxa"/>
            <w:shd w:val="clear" w:color="auto" w:fill="auto"/>
            <w:vAlign w:val="center"/>
            <w:hideMark/>
          </w:tcPr>
          <w:p w14:paraId="0CE4243C"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Auxiliares contables y presupuestarios pólizas en los que se reflejen los registros correspondientes.</w:t>
            </w:r>
          </w:p>
        </w:tc>
      </w:tr>
      <w:tr w:rsidR="00FC0B5B" w:rsidRPr="009756E8" w14:paraId="49C425A1" w14:textId="77777777" w:rsidTr="000F0972">
        <w:trPr>
          <w:trHeight w:val="20"/>
        </w:trPr>
        <w:tc>
          <w:tcPr>
            <w:tcW w:w="2500" w:type="dxa"/>
            <w:vMerge/>
            <w:vAlign w:val="center"/>
            <w:hideMark/>
          </w:tcPr>
          <w:p w14:paraId="14D31604"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1006250"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2.- Avance físico-financiero.</w:t>
            </w:r>
          </w:p>
        </w:tc>
        <w:tc>
          <w:tcPr>
            <w:tcW w:w="3460" w:type="dxa"/>
            <w:shd w:val="clear" w:color="auto" w:fill="auto"/>
            <w:vAlign w:val="center"/>
            <w:hideMark/>
          </w:tcPr>
          <w:p w14:paraId="06C835C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Informes trimestrales de cada una</w:t>
            </w:r>
            <w:r w:rsidRPr="009756E8">
              <w:rPr>
                <w:rFonts w:ascii="Arial" w:eastAsia="Times New Roman" w:hAnsi="Arial" w:cs="Arial"/>
                <w:color w:val="000000"/>
                <w:sz w:val="20"/>
                <w:szCs w:val="20"/>
                <w:lang w:eastAsia="es-MX"/>
              </w:rPr>
              <w:br/>
              <w:t>de las ejecutoras del gasto.</w:t>
            </w:r>
          </w:p>
        </w:tc>
      </w:tr>
      <w:tr w:rsidR="00FC0B5B" w:rsidRPr="009756E8" w14:paraId="1BCACBDC" w14:textId="77777777" w:rsidTr="000F0972">
        <w:trPr>
          <w:trHeight w:val="20"/>
        </w:trPr>
        <w:tc>
          <w:tcPr>
            <w:tcW w:w="2500" w:type="dxa"/>
            <w:vMerge/>
            <w:vAlign w:val="center"/>
            <w:hideMark/>
          </w:tcPr>
          <w:p w14:paraId="04E46D04"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4A36F43D"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3.- Cierre del ejercicio presupuestal.</w:t>
            </w:r>
          </w:p>
        </w:tc>
        <w:tc>
          <w:tcPr>
            <w:tcW w:w="3460" w:type="dxa"/>
            <w:shd w:val="clear" w:color="auto" w:fill="auto"/>
            <w:vAlign w:val="center"/>
            <w:hideMark/>
          </w:tcPr>
          <w:p w14:paraId="3944B46F"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Cierre del ejercicio con las firmas autorizadas</w:t>
            </w:r>
            <w:r w:rsidR="009756E8">
              <w:rPr>
                <w:rFonts w:ascii="Arial" w:eastAsia="Times New Roman" w:hAnsi="Arial" w:cs="Arial"/>
                <w:color w:val="000000"/>
                <w:sz w:val="20"/>
                <w:szCs w:val="20"/>
                <w:lang w:eastAsia="es-MX"/>
              </w:rPr>
              <w:t>.</w:t>
            </w:r>
          </w:p>
        </w:tc>
      </w:tr>
      <w:tr w:rsidR="00FC0B5B" w:rsidRPr="009756E8" w14:paraId="772239FC" w14:textId="77777777" w:rsidTr="000F0972">
        <w:trPr>
          <w:trHeight w:val="20"/>
        </w:trPr>
        <w:tc>
          <w:tcPr>
            <w:tcW w:w="2500" w:type="dxa"/>
            <w:vMerge w:val="restart"/>
            <w:shd w:val="clear" w:color="auto" w:fill="auto"/>
            <w:vAlign w:val="center"/>
            <w:hideMark/>
          </w:tcPr>
          <w:p w14:paraId="4DFB7FFA"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Servicios Personales</w:t>
            </w:r>
          </w:p>
        </w:tc>
        <w:tc>
          <w:tcPr>
            <w:tcW w:w="3000" w:type="dxa"/>
            <w:shd w:val="clear" w:color="auto" w:fill="auto"/>
            <w:vAlign w:val="center"/>
            <w:hideMark/>
          </w:tcPr>
          <w:p w14:paraId="4469777B"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1.- Nóminas Ordinarias, Extraordinarias y de Honorarios.</w:t>
            </w:r>
          </w:p>
        </w:tc>
        <w:tc>
          <w:tcPr>
            <w:tcW w:w="3460" w:type="dxa"/>
            <w:shd w:val="clear" w:color="auto" w:fill="auto"/>
            <w:vAlign w:val="center"/>
            <w:hideMark/>
          </w:tcPr>
          <w:p w14:paraId="1D19857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Base de datos en Excel, que contenga el nombre del trabajador, RFC, Quincena de Pago, tipo de nómina, Total de percepciones, Total de deducciones, Total Neto pagado y desglose de percepciones y deducciones como mínimo. Resúmenes de Nómina. Pólizas Contables y presupuestales.</w:t>
            </w:r>
          </w:p>
        </w:tc>
      </w:tr>
      <w:tr w:rsidR="00FC0B5B" w:rsidRPr="009756E8" w14:paraId="3E513563" w14:textId="77777777" w:rsidTr="000F0972">
        <w:trPr>
          <w:trHeight w:val="20"/>
        </w:trPr>
        <w:tc>
          <w:tcPr>
            <w:tcW w:w="2500" w:type="dxa"/>
            <w:vMerge/>
            <w:vAlign w:val="center"/>
            <w:hideMark/>
          </w:tcPr>
          <w:p w14:paraId="7717803D"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5B9FA290"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2.-Incentivos, Bonos, Vales de despensa o cualquier otro pago relacionado al capítulo 1000.</w:t>
            </w:r>
          </w:p>
        </w:tc>
        <w:tc>
          <w:tcPr>
            <w:tcW w:w="3460" w:type="dxa"/>
            <w:shd w:val="clear" w:color="auto" w:fill="auto"/>
            <w:vAlign w:val="center"/>
            <w:hideMark/>
          </w:tcPr>
          <w:p w14:paraId="162C58A3"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Base de datos en Excel, que contenga el nombre del trabajador, RFC, Quincena de Pago, tipo de nómina, Total de percepciones, Total de deducciones, Total Neto pagado y desglose de percepciones y deducciones como mínimo Resúmenes de Nómina Pólizas Contables y presupuestales.</w:t>
            </w:r>
          </w:p>
        </w:tc>
      </w:tr>
      <w:tr w:rsidR="00FC0B5B" w:rsidRPr="009756E8" w14:paraId="12BAE49B" w14:textId="77777777" w:rsidTr="000F0972">
        <w:trPr>
          <w:trHeight w:val="20"/>
        </w:trPr>
        <w:tc>
          <w:tcPr>
            <w:tcW w:w="2500" w:type="dxa"/>
            <w:vMerge/>
            <w:vAlign w:val="center"/>
            <w:hideMark/>
          </w:tcPr>
          <w:p w14:paraId="4C79FE71"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7F2308F8"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3.-Contratos del personal de honorarios.</w:t>
            </w:r>
          </w:p>
        </w:tc>
        <w:tc>
          <w:tcPr>
            <w:tcW w:w="3460" w:type="dxa"/>
            <w:shd w:val="clear" w:color="auto" w:fill="auto"/>
            <w:vAlign w:val="center"/>
            <w:hideMark/>
          </w:tcPr>
          <w:p w14:paraId="7E1BFCB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Relación de personal contratado bajo esta modalidad Contratos Individuales</w:t>
            </w:r>
          </w:p>
        </w:tc>
      </w:tr>
      <w:tr w:rsidR="00FC0B5B" w:rsidRPr="009756E8" w14:paraId="34997F76" w14:textId="77777777" w:rsidTr="000F0972">
        <w:trPr>
          <w:trHeight w:val="20"/>
        </w:trPr>
        <w:tc>
          <w:tcPr>
            <w:tcW w:w="2500" w:type="dxa"/>
            <w:vMerge/>
            <w:vAlign w:val="center"/>
            <w:hideMark/>
          </w:tcPr>
          <w:p w14:paraId="26E0C5FB"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18180674" w14:textId="77777777" w:rsidR="00FC0B5B"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4.- Plantilla de Personal Autorizada.</w:t>
            </w:r>
          </w:p>
          <w:p w14:paraId="6CBC4291" w14:textId="77777777" w:rsidR="009F1C66" w:rsidRPr="009756E8" w:rsidRDefault="009F1C66" w:rsidP="000F0972">
            <w:pPr>
              <w:spacing w:after="0" w:line="240" w:lineRule="auto"/>
              <w:jc w:val="both"/>
              <w:rPr>
                <w:rFonts w:ascii="Arial" w:eastAsia="Times New Roman" w:hAnsi="Arial" w:cs="Arial"/>
                <w:color w:val="000000"/>
                <w:sz w:val="20"/>
                <w:szCs w:val="20"/>
                <w:lang w:eastAsia="es-MX"/>
              </w:rPr>
            </w:pPr>
          </w:p>
        </w:tc>
        <w:tc>
          <w:tcPr>
            <w:tcW w:w="3460" w:type="dxa"/>
            <w:shd w:val="clear" w:color="auto" w:fill="auto"/>
            <w:vAlign w:val="center"/>
            <w:hideMark/>
          </w:tcPr>
          <w:p w14:paraId="0D5297E2"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Base de Datos</w:t>
            </w:r>
          </w:p>
        </w:tc>
      </w:tr>
      <w:tr w:rsidR="00FC0B5B" w:rsidRPr="009756E8" w14:paraId="0F1C6063" w14:textId="77777777" w:rsidTr="000F0972">
        <w:trPr>
          <w:trHeight w:val="20"/>
        </w:trPr>
        <w:tc>
          <w:tcPr>
            <w:tcW w:w="2500" w:type="dxa"/>
            <w:vMerge/>
            <w:vAlign w:val="center"/>
            <w:hideMark/>
          </w:tcPr>
          <w:p w14:paraId="7FBB9AD8"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5B304D86"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5.- Relación de altas, bajas y comisiones con goce, sin goce de sueldo y a otras dependencias.</w:t>
            </w:r>
          </w:p>
        </w:tc>
        <w:tc>
          <w:tcPr>
            <w:tcW w:w="3460" w:type="dxa"/>
            <w:shd w:val="clear" w:color="auto" w:fill="auto"/>
            <w:vAlign w:val="center"/>
            <w:hideMark/>
          </w:tcPr>
          <w:p w14:paraId="671AEDA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Base de Datos que contenga fecha de baja o de comisión, tipo de comisión o motivo de la baja y en su caso fecha de reincorporación. FUMPS Formatos de Movimientos de Personal</w:t>
            </w:r>
          </w:p>
        </w:tc>
      </w:tr>
      <w:tr w:rsidR="00FC0B5B" w:rsidRPr="009756E8" w14:paraId="4A5120D8" w14:textId="77777777" w:rsidTr="000F0972">
        <w:trPr>
          <w:trHeight w:val="20"/>
        </w:trPr>
        <w:tc>
          <w:tcPr>
            <w:tcW w:w="2500" w:type="dxa"/>
            <w:vMerge/>
            <w:vAlign w:val="center"/>
            <w:hideMark/>
          </w:tcPr>
          <w:p w14:paraId="4EAA7055"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7BA459D2" w14:textId="77777777" w:rsidR="00FC0B5B"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6.- Tabuladores Autorizados utilizados para el pago de los distintos tipos de Nóminas.</w:t>
            </w:r>
          </w:p>
          <w:p w14:paraId="6B16D189" w14:textId="77777777" w:rsidR="009F1C66" w:rsidRPr="009756E8" w:rsidRDefault="009F1C66" w:rsidP="000F0972">
            <w:pPr>
              <w:spacing w:after="0" w:line="240" w:lineRule="auto"/>
              <w:jc w:val="both"/>
              <w:rPr>
                <w:rFonts w:ascii="Arial" w:eastAsia="Times New Roman" w:hAnsi="Arial" w:cs="Arial"/>
                <w:color w:val="000000"/>
                <w:sz w:val="20"/>
                <w:szCs w:val="20"/>
                <w:lang w:eastAsia="es-MX"/>
              </w:rPr>
            </w:pPr>
          </w:p>
        </w:tc>
        <w:tc>
          <w:tcPr>
            <w:tcW w:w="3460" w:type="dxa"/>
            <w:shd w:val="clear" w:color="auto" w:fill="auto"/>
            <w:vAlign w:val="center"/>
            <w:hideMark/>
          </w:tcPr>
          <w:p w14:paraId="6571658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Base de Datos.</w:t>
            </w:r>
            <w:r w:rsidRPr="009756E8">
              <w:rPr>
                <w:rFonts w:ascii="Arial" w:eastAsia="Times New Roman" w:hAnsi="Arial" w:cs="Arial"/>
                <w:color w:val="000000"/>
                <w:sz w:val="20"/>
                <w:szCs w:val="20"/>
                <w:lang w:eastAsia="es-MX"/>
              </w:rPr>
              <w:br/>
              <w:t>Normativa aplicable</w:t>
            </w:r>
          </w:p>
        </w:tc>
      </w:tr>
      <w:tr w:rsidR="00FC0B5B" w:rsidRPr="009756E8" w14:paraId="320267A7" w14:textId="77777777" w:rsidTr="000F0972">
        <w:trPr>
          <w:trHeight w:val="20"/>
        </w:trPr>
        <w:tc>
          <w:tcPr>
            <w:tcW w:w="2500" w:type="dxa"/>
            <w:vMerge/>
            <w:vAlign w:val="center"/>
            <w:hideMark/>
          </w:tcPr>
          <w:p w14:paraId="2565E3C6"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50DFEC95" w14:textId="77777777" w:rsidR="00FC0B5B"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7.- Catalogo de Percepciones y Deducciones.</w:t>
            </w:r>
          </w:p>
          <w:p w14:paraId="3983FF2C" w14:textId="77777777" w:rsidR="009F1C66" w:rsidRPr="009756E8" w:rsidRDefault="009F1C66" w:rsidP="000F0972">
            <w:pPr>
              <w:spacing w:after="0" w:line="240" w:lineRule="auto"/>
              <w:jc w:val="both"/>
              <w:rPr>
                <w:rFonts w:ascii="Arial" w:eastAsia="Times New Roman" w:hAnsi="Arial" w:cs="Arial"/>
                <w:color w:val="000000"/>
                <w:sz w:val="20"/>
                <w:szCs w:val="20"/>
                <w:lang w:eastAsia="es-MX"/>
              </w:rPr>
            </w:pPr>
          </w:p>
        </w:tc>
        <w:tc>
          <w:tcPr>
            <w:tcW w:w="3460" w:type="dxa"/>
            <w:shd w:val="clear" w:color="auto" w:fill="auto"/>
            <w:vAlign w:val="center"/>
            <w:hideMark/>
          </w:tcPr>
          <w:p w14:paraId="17E11C2B"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Base de Datos</w:t>
            </w:r>
          </w:p>
        </w:tc>
      </w:tr>
      <w:tr w:rsidR="00FC0B5B" w:rsidRPr="009756E8" w14:paraId="754CEFDB" w14:textId="77777777" w:rsidTr="000F0972">
        <w:trPr>
          <w:trHeight w:val="20"/>
        </w:trPr>
        <w:tc>
          <w:tcPr>
            <w:tcW w:w="2500" w:type="dxa"/>
            <w:vMerge/>
            <w:vAlign w:val="center"/>
            <w:hideMark/>
          </w:tcPr>
          <w:p w14:paraId="214F36D4"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76F72F97" w14:textId="77777777" w:rsidR="00FC0B5B"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8.- Catalogo de Centros de Trabajo.</w:t>
            </w:r>
          </w:p>
          <w:p w14:paraId="03E9A620" w14:textId="77777777" w:rsidR="009F1C66" w:rsidRPr="009756E8" w:rsidRDefault="009F1C66" w:rsidP="000F0972">
            <w:pPr>
              <w:spacing w:after="0" w:line="240" w:lineRule="auto"/>
              <w:jc w:val="both"/>
              <w:rPr>
                <w:rFonts w:ascii="Arial" w:eastAsia="Times New Roman" w:hAnsi="Arial" w:cs="Arial"/>
                <w:color w:val="000000"/>
                <w:sz w:val="20"/>
                <w:szCs w:val="20"/>
                <w:lang w:eastAsia="es-MX"/>
              </w:rPr>
            </w:pPr>
          </w:p>
        </w:tc>
        <w:tc>
          <w:tcPr>
            <w:tcW w:w="3460" w:type="dxa"/>
            <w:shd w:val="clear" w:color="auto" w:fill="auto"/>
            <w:vAlign w:val="center"/>
            <w:hideMark/>
          </w:tcPr>
          <w:p w14:paraId="3596CD40"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Base de Datos</w:t>
            </w:r>
          </w:p>
        </w:tc>
      </w:tr>
      <w:tr w:rsidR="00FC0B5B" w:rsidRPr="009756E8" w14:paraId="3955DDEE" w14:textId="77777777" w:rsidTr="000F0972">
        <w:trPr>
          <w:trHeight w:val="20"/>
        </w:trPr>
        <w:tc>
          <w:tcPr>
            <w:tcW w:w="2500" w:type="dxa"/>
            <w:vMerge/>
            <w:vAlign w:val="center"/>
            <w:hideMark/>
          </w:tcPr>
          <w:p w14:paraId="239A9C12"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7D622D96"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9.- Pagos efectuados a terceros institucionales (ISR, IMSS, SAR, ETC.).</w:t>
            </w:r>
          </w:p>
        </w:tc>
        <w:tc>
          <w:tcPr>
            <w:tcW w:w="3460" w:type="dxa"/>
            <w:shd w:val="clear" w:color="auto" w:fill="auto"/>
            <w:vAlign w:val="center"/>
            <w:hideMark/>
          </w:tcPr>
          <w:p w14:paraId="3A7BC58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Pólizas y documentación soporte que acredite el entero correspondiente, así como los papeles de trabajo que acrediten el cálculo.</w:t>
            </w:r>
          </w:p>
        </w:tc>
      </w:tr>
      <w:tr w:rsidR="009756E8" w:rsidRPr="009756E8" w14:paraId="2033F237" w14:textId="77777777" w:rsidTr="000F0972">
        <w:trPr>
          <w:trHeight w:val="20"/>
        </w:trPr>
        <w:tc>
          <w:tcPr>
            <w:tcW w:w="2500" w:type="dxa"/>
            <w:shd w:val="clear" w:color="auto" w:fill="C5E0B3" w:themeFill="accent6" w:themeFillTint="66"/>
            <w:vAlign w:val="center"/>
            <w:hideMark/>
          </w:tcPr>
          <w:p w14:paraId="2E2FC00A" w14:textId="77777777" w:rsidR="009756E8" w:rsidRPr="009756E8" w:rsidRDefault="009756E8"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Apartado</w:t>
            </w:r>
          </w:p>
        </w:tc>
        <w:tc>
          <w:tcPr>
            <w:tcW w:w="3000" w:type="dxa"/>
            <w:shd w:val="clear" w:color="auto" w:fill="C5E0B3" w:themeFill="accent6" w:themeFillTint="66"/>
            <w:vAlign w:val="center"/>
            <w:hideMark/>
          </w:tcPr>
          <w:p w14:paraId="78E70B88" w14:textId="77777777" w:rsidR="009756E8" w:rsidRPr="009756E8" w:rsidRDefault="009756E8"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Concepto</w:t>
            </w:r>
          </w:p>
        </w:tc>
        <w:tc>
          <w:tcPr>
            <w:tcW w:w="3460" w:type="dxa"/>
            <w:shd w:val="clear" w:color="auto" w:fill="C5E0B3" w:themeFill="accent6" w:themeFillTint="66"/>
            <w:vAlign w:val="center"/>
            <w:hideMark/>
          </w:tcPr>
          <w:p w14:paraId="52B260AF" w14:textId="77777777" w:rsidR="009756E8" w:rsidRPr="009756E8" w:rsidRDefault="009756E8"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Características de la documentación</w:t>
            </w:r>
          </w:p>
        </w:tc>
      </w:tr>
      <w:tr w:rsidR="00FC0B5B" w:rsidRPr="009756E8" w14:paraId="79E03854" w14:textId="77777777" w:rsidTr="000F0972">
        <w:trPr>
          <w:trHeight w:val="20"/>
        </w:trPr>
        <w:tc>
          <w:tcPr>
            <w:tcW w:w="2500" w:type="dxa"/>
            <w:vMerge w:val="restart"/>
            <w:shd w:val="clear" w:color="auto" w:fill="auto"/>
            <w:vAlign w:val="center"/>
            <w:hideMark/>
          </w:tcPr>
          <w:p w14:paraId="03DFFD41"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Adquisiciones</w:t>
            </w:r>
          </w:p>
        </w:tc>
        <w:tc>
          <w:tcPr>
            <w:tcW w:w="3000" w:type="dxa"/>
            <w:shd w:val="clear" w:color="auto" w:fill="auto"/>
            <w:vAlign w:val="center"/>
            <w:hideMark/>
          </w:tcPr>
          <w:p w14:paraId="43034EDA"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 xml:space="preserve">1.- Expedientes unitarios del proceso de adquisición </w:t>
            </w:r>
            <w:r w:rsidRPr="009756E8">
              <w:rPr>
                <w:rFonts w:ascii="Arial" w:eastAsia="Times New Roman" w:hAnsi="Arial" w:cs="Arial"/>
                <w:color w:val="000000"/>
                <w:sz w:val="20"/>
                <w:szCs w:val="20"/>
                <w:lang w:eastAsia="es-MX"/>
              </w:rPr>
              <w:lastRenderedPageBreak/>
              <w:t>(licitación pública, adquisición directa o invitación a 3).</w:t>
            </w:r>
          </w:p>
        </w:tc>
        <w:tc>
          <w:tcPr>
            <w:tcW w:w="3460" w:type="dxa"/>
            <w:shd w:val="clear" w:color="auto" w:fill="auto"/>
            <w:vAlign w:val="center"/>
            <w:hideMark/>
          </w:tcPr>
          <w:p w14:paraId="70F4C96C"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lastRenderedPageBreak/>
              <w:t xml:space="preserve">Expedientes unitarios debidamente integrados de acuerdo a lo señalado en la normativa aplicable, mismo que </w:t>
            </w:r>
            <w:r w:rsidRPr="009756E8">
              <w:rPr>
                <w:rFonts w:ascii="Arial" w:eastAsia="Times New Roman" w:hAnsi="Arial" w:cs="Arial"/>
                <w:color w:val="000000"/>
                <w:sz w:val="20"/>
                <w:szCs w:val="20"/>
                <w:lang w:eastAsia="es-MX"/>
              </w:rPr>
              <w:lastRenderedPageBreak/>
              <w:t>debe estar integrado con la documentación que acredite desde la convocatoria hasta el fallo. *en su caso, adjuntar la documentación que justifica la excepción de licitación.</w:t>
            </w:r>
          </w:p>
        </w:tc>
      </w:tr>
      <w:tr w:rsidR="00FC0B5B" w:rsidRPr="009756E8" w14:paraId="65B6A76A" w14:textId="77777777" w:rsidTr="000F0972">
        <w:trPr>
          <w:trHeight w:val="20"/>
        </w:trPr>
        <w:tc>
          <w:tcPr>
            <w:tcW w:w="2500" w:type="dxa"/>
            <w:vMerge/>
            <w:vAlign w:val="center"/>
            <w:hideMark/>
          </w:tcPr>
          <w:p w14:paraId="29DDF7B6"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4374CB12"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2.- Contratos y/o pedidos que amparen la contratación o compra.</w:t>
            </w:r>
          </w:p>
        </w:tc>
        <w:tc>
          <w:tcPr>
            <w:tcW w:w="3460" w:type="dxa"/>
            <w:shd w:val="clear" w:color="auto" w:fill="auto"/>
            <w:vAlign w:val="center"/>
            <w:hideMark/>
          </w:tcPr>
          <w:p w14:paraId="729F561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Contratos y/o pedidos que amparen la contratación de servicios o compra de bienes, autorizados por la instancia correspondiente y debidamente firmados</w:t>
            </w:r>
          </w:p>
        </w:tc>
      </w:tr>
      <w:tr w:rsidR="00FC0B5B" w:rsidRPr="009756E8" w14:paraId="4789A9A1" w14:textId="77777777" w:rsidTr="000F0972">
        <w:trPr>
          <w:trHeight w:val="20"/>
        </w:trPr>
        <w:tc>
          <w:tcPr>
            <w:tcW w:w="2500" w:type="dxa"/>
            <w:vMerge/>
            <w:vAlign w:val="center"/>
            <w:hideMark/>
          </w:tcPr>
          <w:p w14:paraId="2B417F7A"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AC4295D"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3.- Documento que ampare la recepción de los bienes o servicios.</w:t>
            </w:r>
          </w:p>
        </w:tc>
        <w:tc>
          <w:tcPr>
            <w:tcW w:w="3460" w:type="dxa"/>
            <w:shd w:val="clear" w:color="auto" w:fill="auto"/>
            <w:vAlign w:val="center"/>
            <w:hideMark/>
          </w:tcPr>
          <w:p w14:paraId="2273978C"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Acta de entrega recepción, comprobante fiscal, nota de remisión o cualquier documento que acredite la recepción de los bienes o servicios contratados, debidamente firmados por las partes involucradas.</w:t>
            </w:r>
          </w:p>
        </w:tc>
      </w:tr>
      <w:tr w:rsidR="00FC0B5B" w:rsidRPr="009756E8" w14:paraId="6C699FF2" w14:textId="77777777" w:rsidTr="000F0972">
        <w:trPr>
          <w:trHeight w:val="20"/>
        </w:trPr>
        <w:tc>
          <w:tcPr>
            <w:tcW w:w="2500" w:type="dxa"/>
            <w:vMerge/>
            <w:vAlign w:val="center"/>
            <w:hideMark/>
          </w:tcPr>
          <w:p w14:paraId="073D622E"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58EC2646"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4.- Calendario de entregas o entradas de almacén.</w:t>
            </w:r>
          </w:p>
        </w:tc>
        <w:tc>
          <w:tcPr>
            <w:tcW w:w="3460" w:type="dxa"/>
            <w:shd w:val="clear" w:color="auto" w:fill="auto"/>
            <w:vAlign w:val="center"/>
            <w:hideMark/>
          </w:tcPr>
          <w:p w14:paraId="768521AB"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Calendario de entregas debidamente autorizado y copias certificadas de las entradas de almacén.</w:t>
            </w:r>
          </w:p>
        </w:tc>
      </w:tr>
      <w:tr w:rsidR="00FC0B5B" w:rsidRPr="009756E8" w14:paraId="1996A0AD" w14:textId="77777777" w:rsidTr="000F0972">
        <w:trPr>
          <w:trHeight w:val="20"/>
        </w:trPr>
        <w:tc>
          <w:tcPr>
            <w:tcW w:w="2500" w:type="dxa"/>
            <w:vMerge/>
            <w:vAlign w:val="center"/>
            <w:hideMark/>
          </w:tcPr>
          <w:p w14:paraId="2B29E673"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17A940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5.- Convenios modificatorios.</w:t>
            </w:r>
          </w:p>
        </w:tc>
        <w:tc>
          <w:tcPr>
            <w:tcW w:w="3460" w:type="dxa"/>
            <w:shd w:val="clear" w:color="auto" w:fill="auto"/>
            <w:vAlign w:val="center"/>
            <w:hideMark/>
          </w:tcPr>
          <w:p w14:paraId="568DD0F8"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Convenios modificatorios debidamente firmados por las partes involucradas.</w:t>
            </w:r>
          </w:p>
        </w:tc>
      </w:tr>
      <w:tr w:rsidR="00FC0B5B" w:rsidRPr="009756E8" w14:paraId="56933192" w14:textId="77777777" w:rsidTr="000F0972">
        <w:trPr>
          <w:trHeight w:val="20"/>
        </w:trPr>
        <w:tc>
          <w:tcPr>
            <w:tcW w:w="2500" w:type="dxa"/>
            <w:vMerge/>
            <w:vAlign w:val="center"/>
            <w:hideMark/>
          </w:tcPr>
          <w:p w14:paraId="429EBEFA"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5F11442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6.- Monto de las sanciones y retenciones aplicadas, y garantías de cumplimiento y anticipo.</w:t>
            </w:r>
          </w:p>
        </w:tc>
        <w:tc>
          <w:tcPr>
            <w:tcW w:w="3460" w:type="dxa"/>
            <w:shd w:val="clear" w:color="auto" w:fill="auto"/>
            <w:vAlign w:val="center"/>
            <w:hideMark/>
          </w:tcPr>
          <w:p w14:paraId="34706303"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Cálculo y comprobante fiscal en el que se aplican las sanciones y retenciones cuando se incurran en incumplimientos al contrato. En su caso, documentos que soporten y justifiquen el cobro de las fianzas contratadas.</w:t>
            </w:r>
          </w:p>
        </w:tc>
      </w:tr>
      <w:tr w:rsidR="00FC0B5B" w:rsidRPr="009756E8" w14:paraId="7BB56898" w14:textId="77777777" w:rsidTr="000F0972">
        <w:trPr>
          <w:trHeight w:val="20"/>
        </w:trPr>
        <w:tc>
          <w:tcPr>
            <w:tcW w:w="2500" w:type="dxa"/>
            <w:vMerge/>
            <w:vAlign w:val="center"/>
            <w:hideMark/>
          </w:tcPr>
          <w:p w14:paraId="67E192D1"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53CA418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7.- Programa anual de</w:t>
            </w:r>
            <w:r w:rsidRPr="009756E8">
              <w:rPr>
                <w:rFonts w:ascii="Arial" w:eastAsia="Times New Roman" w:hAnsi="Arial" w:cs="Arial"/>
                <w:color w:val="000000"/>
                <w:sz w:val="20"/>
                <w:szCs w:val="20"/>
                <w:lang w:eastAsia="es-MX"/>
              </w:rPr>
              <w:br/>
              <w:t>adquisiciones o su</w:t>
            </w:r>
            <w:r w:rsidRPr="009756E8">
              <w:rPr>
                <w:rFonts w:ascii="Arial" w:eastAsia="Times New Roman" w:hAnsi="Arial" w:cs="Arial"/>
                <w:color w:val="000000"/>
                <w:sz w:val="20"/>
                <w:szCs w:val="20"/>
                <w:lang w:eastAsia="es-MX"/>
              </w:rPr>
              <w:br/>
              <w:t>similar en el Estado.</w:t>
            </w:r>
          </w:p>
        </w:tc>
        <w:tc>
          <w:tcPr>
            <w:tcW w:w="3460" w:type="dxa"/>
            <w:shd w:val="clear" w:color="auto" w:fill="auto"/>
            <w:vAlign w:val="center"/>
            <w:hideMark/>
          </w:tcPr>
          <w:p w14:paraId="1140BD93"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Acta de la sesión del comité en el que se autoriza el programa anual de adquisiciones, así como copia certificada del programa anual de adquisiciones debidamente</w:t>
            </w:r>
            <w:r w:rsidRPr="009756E8">
              <w:rPr>
                <w:rFonts w:ascii="Arial" w:eastAsia="Times New Roman" w:hAnsi="Arial" w:cs="Arial"/>
                <w:color w:val="000000"/>
                <w:sz w:val="20"/>
                <w:szCs w:val="20"/>
                <w:lang w:eastAsia="es-MX"/>
              </w:rPr>
              <w:br/>
              <w:t>firmado y/o validado.</w:t>
            </w:r>
          </w:p>
        </w:tc>
      </w:tr>
      <w:tr w:rsidR="00FC0B5B" w:rsidRPr="009756E8" w14:paraId="2F18AA79" w14:textId="77777777" w:rsidTr="000F0972">
        <w:trPr>
          <w:trHeight w:val="20"/>
        </w:trPr>
        <w:tc>
          <w:tcPr>
            <w:tcW w:w="2500" w:type="dxa"/>
            <w:vMerge/>
            <w:vAlign w:val="center"/>
            <w:hideMark/>
          </w:tcPr>
          <w:p w14:paraId="797A9842"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6F3024B8"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8.- Normativa de</w:t>
            </w:r>
            <w:r w:rsidRPr="009756E8">
              <w:rPr>
                <w:rFonts w:ascii="Arial" w:eastAsia="Times New Roman" w:hAnsi="Arial" w:cs="Arial"/>
                <w:color w:val="000000"/>
                <w:sz w:val="20"/>
                <w:szCs w:val="20"/>
                <w:lang w:eastAsia="es-MX"/>
              </w:rPr>
              <w:br/>
              <w:t>montos máximos y</w:t>
            </w:r>
            <w:r w:rsidRPr="009756E8">
              <w:rPr>
                <w:rFonts w:ascii="Arial" w:eastAsia="Times New Roman" w:hAnsi="Arial" w:cs="Arial"/>
                <w:color w:val="000000"/>
                <w:sz w:val="20"/>
                <w:szCs w:val="20"/>
                <w:lang w:eastAsia="es-MX"/>
              </w:rPr>
              <w:br/>
              <w:t>mínimos establecidos.</w:t>
            </w:r>
          </w:p>
        </w:tc>
        <w:tc>
          <w:tcPr>
            <w:tcW w:w="3460" w:type="dxa"/>
            <w:shd w:val="clear" w:color="auto" w:fill="auto"/>
            <w:vAlign w:val="center"/>
            <w:hideMark/>
          </w:tcPr>
          <w:p w14:paraId="24FD93B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Documento en el que se establecen los montos mínimos y máximos para la adjudicación de bienes o servicios, aplicables al ejercicio fiscal revisado.</w:t>
            </w:r>
          </w:p>
        </w:tc>
      </w:tr>
      <w:tr w:rsidR="00FC0B5B" w:rsidRPr="009756E8" w14:paraId="0895D4A0" w14:textId="77777777" w:rsidTr="000F0972">
        <w:trPr>
          <w:trHeight w:val="20"/>
        </w:trPr>
        <w:tc>
          <w:tcPr>
            <w:tcW w:w="2500" w:type="dxa"/>
            <w:vMerge/>
            <w:vAlign w:val="center"/>
            <w:hideMark/>
          </w:tcPr>
          <w:p w14:paraId="6050B960"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13E4746A"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9.- Padrón de proveedores.</w:t>
            </w:r>
          </w:p>
        </w:tc>
        <w:tc>
          <w:tcPr>
            <w:tcW w:w="3460" w:type="dxa"/>
            <w:shd w:val="clear" w:color="auto" w:fill="auto"/>
            <w:vAlign w:val="center"/>
            <w:hideMark/>
          </w:tcPr>
          <w:p w14:paraId="3E52C67F"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Listado de padrón de proveedores debidamente firmado y validado, por el servidor público competente.</w:t>
            </w:r>
          </w:p>
        </w:tc>
      </w:tr>
      <w:tr w:rsidR="00FC0B5B" w:rsidRPr="009756E8" w14:paraId="7087B89F" w14:textId="77777777" w:rsidTr="000F0972">
        <w:trPr>
          <w:trHeight w:val="20"/>
        </w:trPr>
        <w:tc>
          <w:tcPr>
            <w:tcW w:w="2500" w:type="dxa"/>
            <w:vMerge/>
            <w:vAlign w:val="center"/>
            <w:hideMark/>
          </w:tcPr>
          <w:p w14:paraId="770AB379"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70940F62"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10.- Actas de las sesiones del comité de adquisiciones. *en su caso, acreditación de los supuestos de excepción.</w:t>
            </w:r>
          </w:p>
        </w:tc>
        <w:tc>
          <w:tcPr>
            <w:tcW w:w="3460" w:type="dxa"/>
            <w:shd w:val="clear" w:color="auto" w:fill="auto"/>
            <w:vAlign w:val="center"/>
            <w:hideMark/>
          </w:tcPr>
          <w:p w14:paraId="7B1F0820"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Actas de las sesiones ordinarias y extraordinarias del comité de adquisiciones, celebradas en el ejercicio fiscal revisado. En su caso, acta de la sesión del comité en la que se resuelva exceptuar la licitación pública y los documentos que soporten y justifiquen dicha excepción.</w:t>
            </w:r>
          </w:p>
        </w:tc>
      </w:tr>
      <w:tr w:rsidR="009F1C66" w:rsidRPr="009756E8" w14:paraId="76C0FC7B" w14:textId="77777777" w:rsidTr="000F0972">
        <w:trPr>
          <w:trHeight w:val="20"/>
        </w:trPr>
        <w:tc>
          <w:tcPr>
            <w:tcW w:w="2500" w:type="dxa"/>
            <w:shd w:val="clear" w:color="auto" w:fill="C5E0B3" w:themeFill="accent6" w:themeFillTint="66"/>
            <w:vAlign w:val="center"/>
            <w:hideMark/>
          </w:tcPr>
          <w:p w14:paraId="21C2957D" w14:textId="77777777" w:rsidR="009F1C66" w:rsidRPr="009756E8" w:rsidRDefault="009F1C66"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Apartado</w:t>
            </w:r>
          </w:p>
        </w:tc>
        <w:tc>
          <w:tcPr>
            <w:tcW w:w="3000" w:type="dxa"/>
            <w:shd w:val="clear" w:color="auto" w:fill="C5E0B3" w:themeFill="accent6" w:themeFillTint="66"/>
            <w:vAlign w:val="center"/>
            <w:hideMark/>
          </w:tcPr>
          <w:p w14:paraId="40ED9B46" w14:textId="77777777" w:rsidR="009F1C66" w:rsidRPr="009756E8" w:rsidRDefault="009F1C66"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Concepto</w:t>
            </w:r>
          </w:p>
        </w:tc>
        <w:tc>
          <w:tcPr>
            <w:tcW w:w="3460" w:type="dxa"/>
            <w:shd w:val="clear" w:color="auto" w:fill="C5E0B3" w:themeFill="accent6" w:themeFillTint="66"/>
            <w:vAlign w:val="center"/>
            <w:hideMark/>
          </w:tcPr>
          <w:p w14:paraId="766AB57A" w14:textId="77777777" w:rsidR="009F1C66" w:rsidRPr="009756E8" w:rsidRDefault="009F1C66"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Características de la documentación</w:t>
            </w:r>
          </w:p>
        </w:tc>
      </w:tr>
      <w:tr w:rsidR="00FC0B5B" w:rsidRPr="009756E8" w14:paraId="56BC9800" w14:textId="77777777" w:rsidTr="000F0972">
        <w:trPr>
          <w:trHeight w:val="20"/>
        </w:trPr>
        <w:tc>
          <w:tcPr>
            <w:tcW w:w="2500" w:type="dxa"/>
            <w:shd w:val="clear" w:color="auto" w:fill="auto"/>
            <w:vAlign w:val="center"/>
            <w:hideMark/>
          </w:tcPr>
          <w:p w14:paraId="64A301ED"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Obra Pública</w:t>
            </w:r>
          </w:p>
        </w:tc>
        <w:tc>
          <w:tcPr>
            <w:tcW w:w="3000" w:type="dxa"/>
            <w:shd w:val="clear" w:color="auto" w:fill="auto"/>
            <w:vAlign w:val="center"/>
            <w:hideMark/>
          </w:tcPr>
          <w:p w14:paraId="5C8DDC0E"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1.- Expediente unitario.</w:t>
            </w:r>
          </w:p>
        </w:tc>
        <w:tc>
          <w:tcPr>
            <w:tcW w:w="3460" w:type="dxa"/>
            <w:shd w:val="clear" w:color="auto" w:fill="auto"/>
            <w:vAlign w:val="center"/>
            <w:hideMark/>
          </w:tcPr>
          <w:p w14:paraId="493FE1B2" w14:textId="77777777" w:rsidR="009F1C66" w:rsidRDefault="00FC0B5B" w:rsidP="009F1C66">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 xml:space="preserve">Expediente unitario debidamente integrado de acuerdo a la Ley de </w:t>
            </w:r>
            <w:r w:rsidRPr="009756E8">
              <w:rPr>
                <w:rFonts w:ascii="Arial" w:eastAsia="Times New Roman" w:hAnsi="Arial" w:cs="Arial"/>
                <w:color w:val="000000"/>
                <w:sz w:val="20"/>
                <w:szCs w:val="20"/>
                <w:lang w:eastAsia="es-MX"/>
              </w:rPr>
              <w:lastRenderedPageBreak/>
              <w:t xml:space="preserve">Obras Públicas y Servicios Relacionados con las Mismas, la Ley de Obras Públicas del Estado, sus Reglamentos y algunas otras disposiciones vigentes aplicables, mismo que debe estar integrado con la documentación que se genera desde los procesos de planeación, programación y presupuestación de la obra hasta la conclusión de ésta. </w:t>
            </w:r>
          </w:p>
          <w:p w14:paraId="32C256FC" w14:textId="77777777" w:rsidR="009F1C66" w:rsidRDefault="009F1C66" w:rsidP="009F1C66">
            <w:pPr>
              <w:spacing w:after="0" w:line="240" w:lineRule="auto"/>
              <w:jc w:val="both"/>
              <w:rPr>
                <w:rFonts w:ascii="Arial" w:eastAsia="Times New Roman" w:hAnsi="Arial" w:cs="Arial"/>
                <w:color w:val="000000"/>
                <w:sz w:val="20"/>
                <w:szCs w:val="20"/>
                <w:lang w:eastAsia="es-MX"/>
              </w:rPr>
            </w:pPr>
          </w:p>
          <w:p w14:paraId="648FDBE9" w14:textId="77777777" w:rsidR="009F1C66" w:rsidRDefault="00FC0B5B" w:rsidP="009F1C66">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Entre los documentos que generan el expediente unitario se deben considerar:</w:t>
            </w:r>
          </w:p>
          <w:p w14:paraId="7DF455BA" w14:textId="77777777" w:rsidR="009F1C66" w:rsidRDefault="009F1C66" w:rsidP="009F1C66">
            <w:pPr>
              <w:spacing w:after="0" w:line="240" w:lineRule="auto"/>
              <w:jc w:val="both"/>
              <w:rPr>
                <w:rFonts w:ascii="Arial" w:eastAsia="Times New Roman" w:hAnsi="Arial" w:cs="Arial"/>
                <w:color w:val="000000"/>
                <w:sz w:val="20"/>
                <w:szCs w:val="20"/>
                <w:lang w:eastAsia="es-MX"/>
              </w:rPr>
            </w:pPr>
          </w:p>
          <w:p w14:paraId="2189C9D7" w14:textId="77777777" w:rsidR="009F1C66" w:rsidRDefault="00FC0B5B" w:rsidP="009F1C66">
            <w:pPr>
              <w:spacing w:after="0" w:line="240" w:lineRule="auto"/>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 Contrato.</w:t>
            </w:r>
            <w:r w:rsidRPr="009756E8">
              <w:rPr>
                <w:rFonts w:ascii="Arial" w:eastAsia="Times New Roman" w:hAnsi="Arial" w:cs="Arial"/>
                <w:color w:val="000000"/>
                <w:sz w:val="20"/>
                <w:szCs w:val="20"/>
                <w:lang w:eastAsia="es-MX"/>
              </w:rPr>
              <w:br/>
              <w:t>* Fianzas de anticipo y</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cumplimiento.</w:t>
            </w:r>
            <w:r w:rsidRPr="009756E8">
              <w:rPr>
                <w:rFonts w:ascii="Arial" w:eastAsia="Times New Roman" w:hAnsi="Arial" w:cs="Arial"/>
                <w:color w:val="000000"/>
                <w:sz w:val="20"/>
                <w:szCs w:val="20"/>
                <w:lang w:eastAsia="es-MX"/>
              </w:rPr>
              <w:br/>
              <w:t>* Recibo de cobro de</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anticipo o ficha de cobro.</w:t>
            </w:r>
            <w:r w:rsidRPr="009756E8">
              <w:rPr>
                <w:rFonts w:ascii="Arial" w:eastAsia="Times New Roman" w:hAnsi="Arial" w:cs="Arial"/>
                <w:color w:val="000000"/>
                <w:sz w:val="20"/>
                <w:szCs w:val="20"/>
                <w:lang w:eastAsia="es-MX"/>
              </w:rPr>
              <w:br/>
              <w:t>* Aviso de inicio de obra</w:t>
            </w:r>
            <w:r w:rsidRPr="009756E8">
              <w:rPr>
                <w:rFonts w:ascii="Arial" w:eastAsia="Times New Roman" w:hAnsi="Arial" w:cs="Arial"/>
                <w:color w:val="000000"/>
                <w:sz w:val="20"/>
                <w:szCs w:val="20"/>
                <w:lang w:eastAsia="es-MX"/>
              </w:rPr>
              <w:br/>
              <w:t>* Programa de obra</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autorizado comparado con</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el de obra ejecutada.</w:t>
            </w:r>
            <w:r w:rsidRPr="009756E8">
              <w:rPr>
                <w:rFonts w:ascii="Arial" w:eastAsia="Times New Roman" w:hAnsi="Arial" w:cs="Arial"/>
                <w:color w:val="000000"/>
                <w:sz w:val="20"/>
                <w:szCs w:val="20"/>
                <w:lang w:eastAsia="es-MX"/>
              </w:rPr>
              <w:br/>
              <w:t>* Bitácora de obra.</w:t>
            </w:r>
            <w:r w:rsidRPr="009756E8">
              <w:rPr>
                <w:rFonts w:ascii="Arial" w:eastAsia="Times New Roman" w:hAnsi="Arial" w:cs="Arial"/>
                <w:color w:val="000000"/>
                <w:sz w:val="20"/>
                <w:szCs w:val="20"/>
                <w:lang w:eastAsia="es-MX"/>
              </w:rPr>
              <w:br/>
              <w:t>* Reportes de supervisión.</w:t>
            </w:r>
            <w:r w:rsidRPr="009756E8">
              <w:rPr>
                <w:rFonts w:ascii="Arial" w:eastAsia="Times New Roman" w:hAnsi="Arial" w:cs="Arial"/>
                <w:color w:val="000000"/>
                <w:sz w:val="20"/>
                <w:szCs w:val="20"/>
                <w:lang w:eastAsia="es-MX"/>
              </w:rPr>
              <w:br/>
              <w:t>* Facturas.</w:t>
            </w:r>
            <w:r w:rsidRPr="009756E8">
              <w:rPr>
                <w:rFonts w:ascii="Arial" w:eastAsia="Times New Roman" w:hAnsi="Arial" w:cs="Arial"/>
                <w:color w:val="000000"/>
                <w:sz w:val="20"/>
                <w:szCs w:val="20"/>
                <w:lang w:eastAsia="es-MX"/>
              </w:rPr>
              <w:br/>
              <w:t>* Estimaciones.</w:t>
            </w:r>
            <w:r w:rsidRPr="009756E8">
              <w:rPr>
                <w:rFonts w:ascii="Arial" w:eastAsia="Times New Roman" w:hAnsi="Arial" w:cs="Arial"/>
                <w:color w:val="000000"/>
                <w:sz w:val="20"/>
                <w:szCs w:val="20"/>
                <w:lang w:eastAsia="es-MX"/>
              </w:rPr>
              <w:br/>
              <w:t>* Generadores.</w:t>
            </w:r>
            <w:r w:rsidRPr="009756E8">
              <w:rPr>
                <w:rFonts w:ascii="Arial" w:eastAsia="Times New Roman" w:hAnsi="Arial" w:cs="Arial"/>
                <w:color w:val="000000"/>
                <w:sz w:val="20"/>
                <w:szCs w:val="20"/>
                <w:lang w:eastAsia="es-MX"/>
              </w:rPr>
              <w:br/>
              <w:t>* Reportes de control de</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calidad.</w:t>
            </w:r>
            <w:r w:rsidRPr="009756E8">
              <w:rPr>
                <w:rFonts w:ascii="Arial" w:eastAsia="Times New Roman" w:hAnsi="Arial" w:cs="Arial"/>
                <w:color w:val="000000"/>
                <w:sz w:val="20"/>
                <w:szCs w:val="20"/>
                <w:lang w:eastAsia="es-MX"/>
              </w:rPr>
              <w:br/>
              <w:t>* Solicitud, análisis y</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autorización de precios</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unitarios extraordinarios.</w:t>
            </w:r>
            <w:r w:rsidRPr="009756E8">
              <w:rPr>
                <w:rFonts w:ascii="Arial" w:eastAsia="Times New Roman" w:hAnsi="Arial" w:cs="Arial"/>
                <w:color w:val="000000"/>
                <w:sz w:val="20"/>
                <w:szCs w:val="20"/>
                <w:lang w:eastAsia="es-MX"/>
              </w:rPr>
              <w:br/>
              <w:t>* Ajustes de costos: solicitud,</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análisis y autorización.</w:t>
            </w:r>
            <w:r w:rsidRPr="009756E8">
              <w:rPr>
                <w:rFonts w:ascii="Arial" w:eastAsia="Times New Roman" w:hAnsi="Arial" w:cs="Arial"/>
                <w:color w:val="000000"/>
                <w:sz w:val="20"/>
                <w:szCs w:val="20"/>
                <w:lang w:eastAsia="es-MX"/>
              </w:rPr>
              <w:br/>
              <w:t>* Aprobación de</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modificaciones.</w:t>
            </w:r>
            <w:r w:rsidRPr="009756E8">
              <w:rPr>
                <w:rFonts w:ascii="Arial" w:eastAsia="Times New Roman" w:hAnsi="Arial" w:cs="Arial"/>
                <w:color w:val="000000"/>
                <w:sz w:val="20"/>
                <w:szCs w:val="20"/>
                <w:lang w:eastAsia="es-MX"/>
              </w:rPr>
              <w:br/>
              <w:t>* Prórrogas, solicitud y</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autorización.</w:t>
            </w:r>
            <w:r w:rsidRPr="009756E8">
              <w:rPr>
                <w:rFonts w:ascii="Arial" w:eastAsia="Times New Roman" w:hAnsi="Arial" w:cs="Arial"/>
                <w:color w:val="000000"/>
                <w:sz w:val="20"/>
                <w:szCs w:val="20"/>
                <w:lang w:eastAsia="es-MX"/>
              </w:rPr>
              <w:br/>
              <w:t>* Convenios Adicionales.</w:t>
            </w:r>
            <w:r w:rsidRPr="009756E8">
              <w:rPr>
                <w:rFonts w:ascii="Arial" w:eastAsia="Times New Roman" w:hAnsi="Arial" w:cs="Arial"/>
                <w:color w:val="000000"/>
                <w:sz w:val="20"/>
                <w:szCs w:val="20"/>
                <w:lang w:eastAsia="es-MX"/>
              </w:rPr>
              <w:br/>
              <w:t>* Catálogo de conceptos del</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convenio.</w:t>
            </w:r>
            <w:r w:rsidRPr="009756E8">
              <w:rPr>
                <w:rFonts w:ascii="Arial" w:eastAsia="Times New Roman" w:hAnsi="Arial" w:cs="Arial"/>
                <w:color w:val="000000"/>
                <w:sz w:val="20"/>
                <w:szCs w:val="20"/>
                <w:lang w:eastAsia="es-MX"/>
              </w:rPr>
              <w:br/>
              <w:t>* Fianza del convenio.</w:t>
            </w:r>
            <w:r w:rsidRPr="009756E8">
              <w:rPr>
                <w:rFonts w:ascii="Arial" w:eastAsia="Times New Roman" w:hAnsi="Arial" w:cs="Arial"/>
                <w:color w:val="000000"/>
                <w:sz w:val="20"/>
                <w:szCs w:val="20"/>
                <w:lang w:eastAsia="es-MX"/>
              </w:rPr>
              <w:br/>
              <w:t>* Programa del convenio.</w:t>
            </w:r>
            <w:r w:rsidRPr="009756E8">
              <w:rPr>
                <w:rFonts w:ascii="Arial" w:eastAsia="Times New Roman" w:hAnsi="Arial" w:cs="Arial"/>
                <w:color w:val="000000"/>
                <w:sz w:val="20"/>
                <w:szCs w:val="20"/>
                <w:lang w:eastAsia="es-MX"/>
              </w:rPr>
              <w:br/>
              <w:t>* Actas de las sesiones del</w:t>
            </w:r>
            <w:r w:rsidR="009F1C66">
              <w:rPr>
                <w:rFonts w:ascii="Arial" w:eastAsia="Times New Roman" w:hAnsi="Arial" w:cs="Arial"/>
                <w:color w:val="000000"/>
                <w:sz w:val="20"/>
                <w:szCs w:val="20"/>
                <w:lang w:eastAsia="es-MX"/>
              </w:rPr>
              <w:t xml:space="preserve"> </w:t>
            </w:r>
            <w:r w:rsidRPr="009756E8">
              <w:rPr>
                <w:rFonts w:ascii="Arial" w:eastAsia="Times New Roman" w:hAnsi="Arial" w:cs="Arial"/>
                <w:color w:val="000000"/>
                <w:sz w:val="20"/>
                <w:szCs w:val="20"/>
                <w:lang w:eastAsia="es-MX"/>
              </w:rPr>
              <w:t>comité de obra pública.</w:t>
            </w:r>
            <w:r w:rsidRPr="009756E8">
              <w:rPr>
                <w:rFonts w:ascii="Arial" w:eastAsia="Times New Roman" w:hAnsi="Arial" w:cs="Arial"/>
                <w:color w:val="000000"/>
                <w:sz w:val="20"/>
                <w:szCs w:val="20"/>
                <w:lang w:eastAsia="es-MX"/>
              </w:rPr>
              <w:br/>
            </w:r>
          </w:p>
          <w:p w14:paraId="3E110DF4" w14:textId="77777777" w:rsidR="00FC0B5B" w:rsidRPr="009F1C66" w:rsidRDefault="00FC0B5B" w:rsidP="009F1C66">
            <w:pPr>
              <w:spacing w:after="0" w:line="240" w:lineRule="auto"/>
              <w:jc w:val="both"/>
              <w:rPr>
                <w:rFonts w:ascii="Arial" w:eastAsia="Times New Roman" w:hAnsi="Arial" w:cs="Arial"/>
                <w:b/>
                <w:color w:val="000000"/>
                <w:sz w:val="20"/>
                <w:szCs w:val="20"/>
                <w:lang w:eastAsia="es-MX"/>
              </w:rPr>
            </w:pPr>
            <w:r w:rsidRPr="009F1C66">
              <w:rPr>
                <w:rFonts w:ascii="Arial" w:eastAsia="Times New Roman" w:hAnsi="Arial" w:cs="Arial"/>
                <w:b/>
                <w:color w:val="000000"/>
                <w:sz w:val="20"/>
                <w:szCs w:val="20"/>
                <w:lang w:eastAsia="es-MX"/>
              </w:rPr>
              <w:t>Dicha información podrá ser</w:t>
            </w:r>
            <w:r w:rsidR="009F1C66" w:rsidRPr="009F1C66">
              <w:rPr>
                <w:rFonts w:ascii="Arial" w:eastAsia="Times New Roman" w:hAnsi="Arial" w:cs="Arial"/>
                <w:b/>
                <w:color w:val="000000"/>
                <w:sz w:val="20"/>
                <w:szCs w:val="20"/>
                <w:lang w:eastAsia="es-MX"/>
              </w:rPr>
              <w:t xml:space="preserve"> </w:t>
            </w:r>
            <w:r w:rsidRPr="009F1C66">
              <w:rPr>
                <w:rFonts w:ascii="Arial" w:eastAsia="Times New Roman" w:hAnsi="Arial" w:cs="Arial"/>
                <w:b/>
                <w:color w:val="000000"/>
                <w:sz w:val="20"/>
                <w:szCs w:val="20"/>
                <w:lang w:eastAsia="es-MX"/>
              </w:rPr>
              <w:t>entregada mediante medio</w:t>
            </w:r>
            <w:r w:rsidR="009F1C66" w:rsidRPr="009F1C66">
              <w:rPr>
                <w:rFonts w:ascii="Arial" w:eastAsia="Times New Roman" w:hAnsi="Arial" w:cs="Arial"/>
                <w:b/>
                <w:color w:val="000000"/>
                <w:sz w:val="20"/>
                <w:szCs w:val="20"/>
                <w:lang w:eastAsia="es-MX"/>
              </w:rPr>
              <w:t xml:space="preserve"> </w:t>
            </w:r>
            <w:r w:rsidRPr="009F1C66">
              <w:rPr>
                <w:rFonts w:ascii="Arial" w:eastAsia="Times New Roman" w:hAnsi="Arial" w:cs="Arial"/>
                <w:b/>
                <w:color w:val="000000"/>
                <w:sz w:val="20"/>
                <w:szCs w:val="20"/>
                <w:lang w:eastAsia="es-MX"/>
              </w:rPr>
              <w:t>magnético certificado, que</w:t>
            </w:r>
            <w:r w:rsidR="009F1C66" w:rsidRPr="009F1C66">
              <w:rPr>
                <w:rFonts w:ascii="Arial" w:eastAsia="Times New Roman" w:hAnsi="Arial" w:cs="Arial"/>
                <w:b/>
                <w:color w:val="000000"/>
                <w:sz w:val="20"/>
                <w:szCs w:val="20"/>
                <w:lang w:eastAsia="es-MX"/>
              </w:rPr>
              <w:t xml:space="preserve"> </w:t>
            </w:r>
            <w:r w:rsidRPr="009F1C66">
              <w:rPr>
                <w:rFonts w:ascii="Arial" w:eastAsia="Times New Roman" w:hAnsi="Arial" w:cs="Arial"/>
                <w:b/>
                <w:color w:val="000000"/>
                <w:sz w:val="20"/>
                <w:szCs w:val="20"/>
                <w:lang w:eastAsia="es-MX"/>
              </w:rPr>
              <w:t>contenga la información en</w:t>
            </w:r>
            <w:r w:rsidR="009F1C66" w:rsidRPr="009F1C66">
              <w:rPr>
                <w:rFonts w:ascii="Arial" w:eastAsia="Times New Roman" w:hAnsi="Arial" w:cs="Arial"/>
                <w:b/>
                <w:color w:val="000000"/>
                <w:sz w:val="20"/>
                <w:szCs w:val="20"/>
                <w:lang w:eastAsia="es-MX"/>
              </w:rPr>
              <w:t xml:space="preserve"> </w:t>
            </w:r>
            <w:r w:rsidRPr="009F1C66">
              <w:rPr>
                <w:rFonts w:ascii="Arial" w:eastAsia="Times New Roman" w:hAnsi="Arial" w:cs="Arial"/>
                <w:b/>
                <w:color w:val="000000"/>
                <w:sz w:val="20"/>
                <w:szCs w:val="20"/>
                <w:lang w:eastAsia="es-MX"/>
              </w:rPr>
              <w:t>formato pdf debidamente</w:t>
            </w:r>
            <w:r w:rsidR="009F1C66" w:rsidRPr="009F1C66">
              <w:rPr>
                <w:rFonts w:ascii="Arial" w:eastAsia="Times New Roman" w:hAnsi="Arial" w:cs="Arial"/>
                <w:b/>
                <w:color w:val="000000"/>
                <w:sz w:val="20"/>
                <w:szCs w:val="20"/>
                <w:lang w:eastAsia="es-MX"/>
              </w:rPr>
              <w:t xml:space="preserve"> </w:t>
            </w:r>
            <w:r w:rsidRPr="009F1C66">
              <w:rPr>
                <w:rFonts w:ascii="Arial" w:eastAsia="Times New Roman" w:hAnsi="Arial" w:cs="Arial"/>
                <w:b/>
                <w:color w:val="000000"/>
                <w:sz w:val="20"/>
                <w:szCs w:val="20"/>
                <w:lang w:eastAsia="es-MX"/>
              </w:rPr>
              <w:t>identificado con el nombre del</w:t>
            </w:r>
            <w:r w:rsidR="009F1C66" w:rsidRPr="009F1C66">
              <w:rPr>
                <w:rFonts w:ascii="Arial" w:eastAsia="Times New Roman" w:hAnsi="Arial" w:cs="Arial"/>
                <w:b/>
                <w:color w:val="000000"/>
                <w:sz w:val="20"/>
                <w:szCs w:val="20"/>
                <w:lang w:eastAsia="es-MX"/>
              </w:rPr>
              <w:t xml:space="preserve"> </w:t>
            </w:r>
            <w:r w:rsidRPr="009F1C66">
              <w:rPr>
                <w:rFonts w:ascii="Arial" w:eastAsia="Times New Roman" w:hAnsi="Arial" w:cs="Arial"/>
                <w:b/>
                <w:color w:val="000000"/>
                <w:sz w:val="20"/>
                <w:szCs w:val="20"/>
                <w:lang w:eastAsia="es-MX"/>
              </w:rPr>
              <w:t>documento y clasificado por cada</w:t>
            </w:r>
            <w:r w:rsidR="009F1C66" w:rsidRPr="009F1C66">
              <w:rPr>
                <w:rFonts w:ascii="Arial" w:eastAsia="Times New Roman" w:hAnsi="Arial" w:cs="Arial"/>
                <w:b/>
                <w:color w:val="000000"/>
                <w:sz w:val="20"/>
                <w:szCs w:val="20"/>
                <w:lang w:eastAsia="es-MX"/>
              </w:rPr>
              <w:t xml:space="preserve"> </w:t>
            </w:r>
            <w:r w:rsidRPr="009F1C66">
              <w:rPr>
                <w:rFonts w:ascii="Arial" w:eastAsia="Times New Roman" w:hAnsi="Arial" w:cs="Arial"/>
                <w:b/>
                <w:color w:val="000000"/>
                <w:sz w:val="20"/>
                <w:szCs w:val="20"/>
                <w:lang w:eastAsia="es-MX"/>
              </w:rPr>
              <w:t>etapa del proceso</w:t>
            </w:r>
            <w:r w:rsidR="009F1C66" w:rsidRPr="009F1C66">
              <w:rPr>
                <w:rFonts w:ascii="Arial" w:eastAsia="Times New Roman" w:hAnsi="Arial" w:cs="Arial"/>
                <w:b/>
                <w:color w:val="000000"/>
                <w:sz w:val="20"/>
                <w:szCs w:val="20"/>
                <w:lang w:eastAsia="es-MX"/>
              </w:rPr>
              <w:t>.</w:t>
            </w:r>
          </w:p>
          <w:p w14:paraId="2F51231B" w14:textId="77777777" w:rsidR="009F1C66" w:rsidRPr="009756E8" w:rsidRDefault="009F1C66" w:rsidP="009F1C66">
            <w:pPr>
              <w:spacing w:after="0" w:line="240" w:lineRule="auto"/>
              <w:jc w:val="both"/>
              <w:rPr>
                <w:rFonts w:ascii="Arial" w:eastAsia="Times New Roman" w:hAnsi="Arial" w:cs="Arial"/>
                <w:color w:val="000000"/>
                <w:sz w:val="20"/>
                <w:szCs w:val="20"/>
                <w:lang w:eastAsia="es-MX"/>
              </w:rPr>
            </w:pPr>
          </w:p>
        </w:tc>
      </w:tr>
      <w:tr w:rsidR="009F1C66" w:rsidRPr="009756E8" w14:paraId="3022D358" w14:textId="77777777" w:rsidTr="000F0972">
        <w:trPr>
          <w:trHeight w:val="20"/>
        </w:trPr>
        <w:tc>
          <w:tcPr>
            <w:tcW w:w="2500" w:type="dxa"/>
            <w:shd w:val="clear" w:color="auto" w:fill="C5E0B3" w:themeFill="accent6" w:themeFillTint="66"/>
            <w:vAlign w:val="center"/>
            <w:hideMark/>
          </w:tcPr>
          <w:p w14:paraId="1C2025FF" w14:textId="77777777" w:rsidR="009F1C66" w:rsidRPr="009756E8" w:rsidRDefault="009F1C66"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lastRenderedPageBreak/>
              <w:t>Apartado</w:t>
            </w:r>
          </w:p>
        </w:tc>
        <w:tc>
          <w:tcPr>
            <w:tcW w:w="3000" w:type="dxa"/>
            <w:shd w:val="clear" w:color="auto" w:fill="C5E0B3" w:themeFill="accent6" w:themeFillTint="66"/>
            <w:vAlign w:val="center"/>
            <w:hideMark/>
          </w:tcPr>
          <w:p w14:paraId="185E73FE" w14:textId="77777777" w:rsidR="009F1C66" w:rsidRPr="009756E8" w:rsidRDefault="009F1C66"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Concepto</w:t>
            </w:r>
          </w:p>
        </w:tc>
        <w:tc>
          <w:tcPr>
            <w:tcW w:w="3460" w:type="dxa"/>
            <w:shd w:val="clear" w:color="auto" w:fill="C5E0B3" w:themeFill="accent6" w:themeFillTint="66"/>
            <w:vAlign w:val="center"/>
            <w:hideMark/>
          </w:tcPr>
          <w:p w14:paraId="7A948E44" w14:textId="77777777" w:rsidR="009F1C66" w:rsidRPr="009756E8" w:rsidRDefault="009F1C66" w:rsidP="000F0972">
            <w:pPr>
              <w:spacing w:after="0" w:line="240" w:lineRule="auto"/>
              <w:jc w:val="center"/>
              <w:rPr>
                <w:rFonts w:ascii="Arial" w:eastAsia="Times New Roman" w:hAnsi="Arial" w:cs="Arial"/>
                <w:b/>
                <w:bCs/>
                <w:color w:val="000000"/>
                <w:sz w:val="20"/>
                <w:szCs w:val="20"/>
                <w:lang w:eastAsia="es-MX"/>
              </w:rPr>
            </w:pPr>
            <w:r w:rsidRPr="009756E8">
              <w:rPr>
                <w:rFonts w:ascii="Arial" w:eastAsia="Times New Roman" w:hAnsi="Arial" w:cs="Arial"/>
                <w:b/>
                <w:bCs/>
                <w:color w:val="000000"/>
                <w:sz w:val="20"/>
                <w:szCs w:val="20"/>
                <w:lang w:eastAsia="es-MX"/>
              </w:rPr>
              <w:t>Características de la documentación</w:t>
            </w:r>
          </w:p>
        </w:tc>
      </w:tr>
      <w:tr w:rsidR="00FC0B5B" w:rsidRPr="009756E8" w14:paraId="4B58018F" w14:textId="77777777" w:rsidTr="000F0972">
        <w:trPr>
          <w:trHeight w:val="20"/>
        </w:trPr>
        <w:tc>
          <w:tcPr>
            <w:tcW w:w="2500" w:type="dxa"/>
            <w:vMerge w:val="restart"/>
            <w:shd w:val="clear" w:color="auto" w:fill="auto"/>
            <w:vAlign w:val="center"/>
            <w:hideMark/>
          </w:tcPr>
          <w:p w14:paraId="4312AE8F"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Transparencia y difusión de la información</w:t>
            </w:r>
          </w:p>
        </w:tc>
        <w:tc>
          <w:tcPr>
            <w:tcW w:w="3000" w:type="dxa"/>
            <w:shd w:val="clear" w:color="auto" w:fill="auto"/>
            <w:vAlign w:val="center"/>
            <w:hideMark/>
          </w:tcPr>
          <w:p w14:paraId="3EBF8AC0"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1.- Informes trimestrales.</w:t>
            </w:r>
          </w:p>
        </w:tc>
        <w:tc>
          <w:tcPr>
            <w:tcW w:w="3460" w:type="dxa"/>
            <w:shd w:val="clear" w:color="auto" w:fill="auto"/>
            <w:vAlign w:val="center"/>
            <w:hideMark/>
          </w:tcPr>
          <w:p w14:paraId="553AC9AE"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Informes trimestrales del ejercicio del gasto</w:t>
            </w:r>
          </w:p>
        </w:tc>
      </w:tr>
      <w:tr w:rsidR="00FC0B5B" w:rsidRPr="009756E8" w14:paraId="61B24BC4" w14:textId="77777777" w:rsidTr="000F0972">
        <w:trPr>
          <w:trHeight w:val="20"/>
        </w:trPr>
        <w:tc>
          <w:tcPr>
            <w:tcW w:w="2500" w:type="dxa"/>
            <w:vMerge/>
            <w:vAlign w:val="center"/>
            <w:hideMark/>
          </w:tcPr>
          <w:p w14:paraId="0A40B3A1"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6F37D172"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2.- Avance físico-financiero.</w:t>
            </w:r>
          </w:p>
        </w:tc>
        <w:tc>
          <w:tcPr>
            <w:tcW w:w="3460" w:type="dxa"/>
            <w:shd w:val="clear" w:color="auto" w:fill="auto"/>
            <w:vAlign w:val="center"/>
            <w:hideMark/>
          </w:tcPr>
          <w:p w14:paraId="4B6AF7D4"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Informes de avance físico-financiero de las obras o servicios contratados.</w:t>
            </w:r>
          </w:p>
        </w:tc>
      </w:tr>
      <w:tr w:rsidR="00FC0B5B" w:rsidRPr="009756E8" w14:paraId="77D89E1E" w14:textId="77777777" w:rsidTr="000F0972">
        <w:trPr>
          <w:trHeight w:val="20"/>
        </w:trPr>
        <w:tc>
          <w:tcPr>
            <w:tcW w:w="2500" w:type="dxa"/>
            <w:vMerge/>
            <w:vAlign w:val="center"/>
            <w:hideMark/>
          </w:tcPr>
          <w:p w14:paraId="1011908C"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CE30562"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3.- Cierre presupuestal.</w:t>
            </w:r>
          </w:p>
        </w:tc>
        <w:tc>
          <w:tcPr>
            <w:tcW w:w="3460" w:type="dxa"/>
            <w:shd w:val="clear" w:color="auto" w:fill="auto"/>
            <w:vAlign w:val="center"/>
            <w:hideMark/>
          </w:tcPr>
          <w:p w14:paraId="7C522EC1"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Cierre del ejercicio con las firmas autorizadas.</w:t>
            </w:r>
          </w:p>
        </w:tc>
      </w:tr>
      <w:tr w:rsidR="00FC0B5B" w:rsidRPr="009756E8" w14:paraId="2A830768" w14:textId="77777777" w:rsidTr="000F0972">
        <w:trPr>
          <w:trHeight w:val="20"/>
        </w:trPr>
        <w:tc>
          <w:tcPr>
            <w:tcW w:w="2500" w:type="dxa"/>
            <w:vMerge/>
            <w:vAlign w:val="center"/>
            <w:hideMark/>
          </w:tcPr>
          <w:p w14:paraId="4C36D66A"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6ECC818A"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4.- Documentación comprobatoria del gasto.</w:t>
            </w:r>
          </w:p>
        </w:tc>
        <w:tc>
          <w:tcPr>
            <w:tcW w:w="3460" w:type="dxa"/>
            <w:shd w:val="clear" w:color="auto" w:fill="auto"/>
            <w:vAlign w:val="center"/>
            <w:hideMark/>
          </w:tcPr>
          <w:p w14:paraId="36926D9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Documentación que compruebe y justifique el ejercicio de los recursos, debidamente cancelada con las leyendas respectivas.</w:t>
            </w:r>
          </w:p>
        </w:tc>
      </w:tr>
      <w:tr w:rsidR="00FC0B5B" w:rsidRPr="009756E8" w14:paraId="527CE860" w14:textId="77777777" w:rsidTr="000F0972">
        <w:trPr>
          <w:trHeight w:val="20"/>
        </w:trPr>
        <w:tc>
          <w:tcPr>
            <w:tcW w:w="2500" w:type="dxa"/>
            <w:vMerge/>
            <w:vAlign w:val="center"/>
            <w:hideMark/>
          </w:tcPr>
          <w:p w14:paraId="7FBFFA8B"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2FB9791"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5.- Comprobación de difusión oficial.</w:t>
            </w:r>
          </w:p>
        </w:tc>
        <w:tc>
          <w:tcPr>
            <w:tcW w:w="3460" w:type="dxa"/>
            <w:shd w:val="clear" w:color="auto" w:fill="auto"/>
            <w:vAlign w:val="center"/>
            <w:hideMark/>
          </w:tcPr>
          <w:p w14:paraId="08F24CE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Ejemplar del diario oficial local en el que se publicaron los informes</w:t>
            </w:r>
          </w:p>
        </w:tc>
      </w:tr>
      <w:tr w:rsidR="00FC0B5B" w:rsidRPr="009756E8" w14:paraId="519D9FF2" w14:textId="77777777" w:rsidTr="000F0972">
        <w:trPr>
          <w:trHeight w:val="20"/>
        </w:trPr>
        <w:tc>
          <w:tcPr>
            <w:tcW w:w="2500" w:type="dxa"/>
            <w:vMerge/>
            <w:vAlign w:val="center"/>
            <w:hideMark/>
          </w:tcPr>
          <w:p w14:paraId="1CEB8D06"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138DE7CA"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6.- Informes trimestrales remitidos al CONAC.</w:t>
            </w:r>
          </w:p>
        </w:tc>
        <w:tc>
          <w:tcPr>
            <w:tcW w:w="3460" w:type="dxa"/>
            <w:shd w:val="clear" w:color="auto" w:fill="auto"/>
            <w:vAlign w:val="center"/>
            <w:hideMark/>
          </w:tcPr>
          <w:p w14:paraId="4601E43C"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Informes trimestrales del ejercicio del gasto remitidos al Consejo Nacional de Armonización Contable, en términos de la Ley</w:t>
            </w:r>
            <w:r w:rsidRPr="009756E8">
              <w:rPr>
                <w:rFonts w:ascii="Arial" w:eastAsia="Times New Roman" w:hAnsi="Arial" w:cs="Arial"/>
                <w:color w:val="000000"/>
                <w:sz w:val="20"/>
                <w:szCs w:val="20"/>
                <w:lang w:eastAsia="es-MX"/>
              </w:rPr>
              <w:br/>
              <w:t>General de Contabilidad</w:t>
            </w:r>
            <w:r w:rsidRPr="009756E8">
              <w:rPr>
                <w:rFonts w:ascii="Arial" w:eastAsia="Times New Roman" w:hAnsi="Arial" w:cs="Arial"/>
                <w:color w:val="000000"/>
                <w:sz w:val="20"/>
                <w:szCs w:val="20"/>
                <w:lang w:eastAsia="es-MX"/>
              </w:rPr>
              <w:br/>
              <w:t>Gubernamental.</w:t>
            </w:r>
          </w:p>
        </w:tc>
      </w:tr>
      <w:tr w:rsidR="00FC0B5B" w:rsidRPr="009756E8" w14:paraId="35F8C636" w14:textId="77777777" w:rsidTr="000F0972">
        <w:trPr>
          <w:trHeight w:val="20"/>
        </w:trPr>
        <w:tc>
          <w:tcPr>
            <w:tcW w:w="2500" w:type="dxa"/>
            <w:vMerge w:val="restart"/>
            <w:shd w:val="clear" w:color="auto" w:fill="auto"/>
            <w:vAlign w:val="center"/>
            <w:hideMark/>
          </w:tcPr>
          <w:p w14:paraId="270DF210"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Cumplimiento de metas y objetivos</w:t>
            </w:r>
          </w:p>
        </w:tc>
        <w:tc>
          <w:tcPr>
            <w:tcW w:w="3000" w:type="dxa"/>
            <w:shd w:val="clear" w:color="auto" w:fill="auto"/>
            <w:vAlign w:val="center"/>
            <w:hideMark/>
          </w:tcPr>
          <w:p w14:paraId="5D0C1FE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1.- Documentación comprobatoria del gasto.</w:t>
            </w:r>
          </w:p>
        </w:tc>
        <w:tc>
          <w:tcPr>
            <w:tcW w:w="3460" w:type="dxa"/>
            <w:shd w:val="clear" w:color="auto" w:fill="auto"/>
            <w:vAlign w:val="center"/>
            <w:hideMark/>
          </w:tcPr>
          <w:p w14:paraId="35310E27"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Documentación que compruebe y justifique el ejercicio de los recursos.</w:t>
            </w:r>
          </w:p>
        </w:tc>
      </w:tr>
      <w:tr w:rsidR="00FC0B5B" w:rsidRPr="009756E8" w14:paraId="5B143579" w14:textId="77777777" w:rsidTr="000F0972">
        <w:trPr>
          <w:trHeight w:val="20"/>
        </w:trPr>
        <w:tc>
          <w:tcPr>
            <w:tcW w:w="2500" w:type="dxa"/>
            <w:vMerge/>
            <w:vAlign w:val="center"/>
            <w:hideMark/>
          </w:tcPr>
          <w:p w14:paraId="23D8C981"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4EB72311"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2.- Cierre del ejercicio.</w:t>
            </w:r>
          </w:p>
        </w:tc>
        <w:tc>
          <w:tcPr>
            <w:tcW w:w="3460" w:type="dxa"/>
            <w:shd w:val="clear" w:color="auto" w:fill="auto"/>
            <w:vAlign w:val="center"/>
            <w:hideMark/>
          </w:tcPr>
          <w:p w14:paraId="62C92EC5"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Cierre del ejercicio con las firmas autorizadas.</w:t>
            </w:r>
          </w:p>
        </w:tc>
      </w:tr>
      <w:tr w:rsidR="00FC0B5B" w:rsidRPr="009756E8" w14:paraId="463EB289" w14:textId="77777777" w:rsidTr="000F0972">
        <w:trPr>
          <w:trHeight w:val="20"/>
        </w:trPr>
        <w:tc>
          <w:tcPr>
            <w:tcW w:w="2500" w:type="dxa"/>
            <w:vMerge/>
            <w:vAlign w:val="center"/>
            <w:hideMark/>
          </w:tcPr>
          <w:p w14:paraId="3154511A"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0AB82CBD"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3.- Programa operativo anual.</w:t>
            </w:r>
          </w:p>
        </w:tc>
        <w:tc>
          <w:tcPr>
            <w:tcW w:w="3460" w:type="dxa"/>
            <w:shd w:val="clear" w:color="auto" w:fill="auto"/>
            <w:vAlign w:val="center"/>
            <w:hideMark/>
          </w:tcPr>
          <w:p w14:paraId="5698FD6A"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Programa Operativo Anual del ejecutor del gasto debidamente autorizado.</w:t>
            </w:r>
          </w:p>
        </w:tc>
      </w:tr>
      <w:tr w:rsidR="00FC0B5B" w:rsidRPr="009756E8" w14:paraId="6C370C2B" w14:textId="77777777" w:rsidTr="000F0972">
        <w:trPr>
          <w:trHeight w:val="20"/>
        </w:trPr>
        <w:tc>
          <w:tcPr>
            <w:tcW w:w="2500" w:type="dxa"/>
            <w:vMerge/>
            <w:vAlign w:val="center"/>
            <w:hideMark/>
          </w:tcPr>
          <w:p w14:paraId="6E54023D"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27E6E183"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4.- Estados de cuenta bancarios.</w:t>
            </w:r>
          </w:p>
        </w:tc>
        <w:tc>
          <w:tcPr>
            <w:tcW w:w="3460" w:type="dxa"/>
            <w:shd w:val="clear" w:color="auto" w:fill="auto"/>
            <w:vAlign w:val="center"/>
            <w:hideMark/>
          </w:tcPr>
          <w:p w14:paraId="5F662219"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Estados de cuenta bancarios mensuales desde la fecha en que se apertura la cuenta y hasta la cancelación de la misma.</w:t>
            </w:r>
          </w:p>
        </w:tc>
      </w:tr>
      <w:tr w:rsidR="00FC0B5B" w:rsidRPr="009756E8" w14:paraId="306F829D" w14:textId="77777777" w:rsidTr="000F0972">
        <w:trPr>
          <w:trHeight w:val="20"/>
        </w:trPr>
        <w:tc>
          <w:tcPr>
            <w:tcW w:w="2500" w:type="dxa"/>
            <w:vMerge/>
            <w:vAlign w:val="center"/>
            <w:hideMark/>
          </w:tcPr>
          <w:p w14:paraId="16DACDD4" w14:textId="77777777" w:rsidR="00FC0B5B" w:rsidRPr="009756E8" w:rsidRDefault="00FC0B5B" w:rsidP="009756E8">
            <w:pPr>
              <w:spacing w:after="0" w:line="240" w:lineRule="auto"/>
              <w:jc w:val="center"/>
              <w:rPr>
                <w:rFonts w:ascii="Arial" w:eastAsia="Times New Roman" w:hAnsi="Arial" w:cs="Arial"/>
                <w:color w:val="000000"/>
                <w:sz w:val="20"/>
                <w:szCs w:val="20"/>
                <w:lang w:eastAsia="es-MX"/>
              </w:rPr>
            </w:pPr>
          </w:p>
        </w:tc>
        <w:tc>
          <w:tcPr>
            <w:tcW w:w="3000" w:type="dxa"/>
            <w:shd w:val="clear" w:color="auto" w:fill="auto"/>
            <w:vAlign w:val="center"/>
            <w:hideMark/>
          </w:tcPr>
          <w:p w14:paraId="6316E966"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5.- Informes trimestrales y avance físico-financiero.</w:t>
            </w:r>
          </w:p>
        </w:tc>
        <w:tc>
          <w:tcPr>
            <w:tcW w:w="3460" w:type="dxa"/>
            <w:shd w:val="clear" w:color="auto" w:fill="auto"/>
            <w:vAlign w:val="center"/>
            <w:hideMark/>
          </w:tcPr>
          <w:p w14:paraId="0104CE6B" w14:textId="77777777" w:rsidR="00FC0B5B" w:rsidRPr="009756E8" w:rsidRDefault="00FC0B5B" w:rsidP="000F0972">
            <w:pPr>
              <w:spacing w:after="0" w:line="240" w:lineRule="auto"/>
              <w:jc w:val="both"/>
              <w:rPr>
                <w:rFonts w:ascii="Arial" w:eastAsia="Times New Roman" w:hAnsi="Arial" w:cs="Arial"/>
                <w:color w:val="000000"/>
                <w:sz w:val="20"/>
                <w:szCs w:val="20"/>
                <w:lang w:eastAsia="es-MX"/>
              </w:rPr>
            </w:pPr>
            <w:r w:rsidRPr="009756E8">
              <w:rPr>
                <w:rFonts w:ascii="Arial" w:eastAsia="Times New Roman" w:hAnsi="Arial" w:cs="Arial"/>
                <w:color w:val="000000"/>
                <w:sz w:val="20"/>
                <w:szCs w:val="20"/>
                <w:lang w:eastAsia="es-MX"/>
              </w:rPr>
              <w:t>Informes de avance físico-financiero de las obras o servicios contratados.</w:t>
            </w:r>
          </w:p>
        </w:tc>
      </w:tr>
    </w:tbl>
    <w:p w14:paraId="40F28D2A" w14:textId="77777777" w:rsidR="00FC0B5B" w:rsidRPr="00CB2BA0" w:rsidRDefault="00FC0B5B" w:rsidP="00FC0B5B">
      <w:pPr>
        <w:jc w:val="both"/>
        <w:rPr>
          <w:rFonts w:ascii="Arial" w:hAnsi="Arial" w:cs="Arial"/>
          <w:sz w:val="24"/>
          <w:szCs w:val="24"/>
        </w:rPr>
      </w:pPr>
    </w:p>
    <w:p w14:paraId="341E5837"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Cuando la información</w:t>
      </w:r>
      <w:r w:rsidR="009F1C66">
        <w:rPr>
          <w:rFonts w:ascii="Arial" w:hAnsi="Arial" w:cs="Arial"/>
          <w:sz w:val="24"/>
          <w:szCs w:val="24"/>
        </w:rPr>
        <w:t>,</w:t>
      </w:r>
      <w:r w:rsidRPr="00CB2BA0">
        <w:rPr>
          <w:rFonts w:ascii="Arial" w:hAnsi="Arial" w:cs="Arial"/>
          <w:sz w:val="24"/>
          <w:szCs w:val="24"/>
        </w:rPr>
        <w:t xml:space="preserve"> por la cantidad de documentos</w:t>
      </w:r>
      <w:r w:rsidR="009F1C66">
        <w:rPr>
          <w:rFonts w:ascii="Arial" w:hAnsi="Arial" w:cs="Arial"/>
          <w:sz w:val="24"/>
          <w:szCs w:val="24"/>
        </w:rPr>
        <w:t>,</w:t>
      </w:r>
      <w:r w:rsidRPr="00CB2BA0">
        <w:rPr>
          <w:rFonts w:ascii="Arial" w:hAnsi="Arial" w:cs="Arial"/>
          <w:sz w:val="24"/>
          <w:szCs w:val="24"/>
        </w:rPr>
        <w:t xml:space="preserve"> se considere necesario digitalizarla, ésta deberá ser mediante archivos Pdf, mismos que deberán estar debidamente identificados con el documento que representa, así mismo deberán ser escaneados de conformidad con la naturaleza del mismo. </w:t>
      </w:r>
    </w:p>
    <w:p w14:paraId="0B2B10F2"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Ejemplo: un contrato en un solo archivo pdf, archivo por estimación, archivo por generadora (vinculado con su respectiva estimación).</w:t>
      </w:r>
    </w:p>
    <w:p w14:paraId="0E35DB06"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Es preciso hacer mención, que el alcance se extiende también a las dependencias y entidades del ámbito estatal y municipal, quienes ejercen los recursos públicos federales transferidos a través de los fondos y programas correspondientes, cuya observancia y aplicación permitirá que tales recursos sean ejercidos de una mejor manera, conforme a los principios de legalidad, profesionalismo, eficiencia, eficacia y transparencia, con lo cual, se estará abonando en el proceso de atención preventiva, de las irregularidades que derivan finalmente en la emisión de observaciones correctivas y en el establecimiento de responsabilidades administrativas.</w:t>
      </w:r>
    </w:p>
    <w:p w14:paraId="4320371E" w14:textId="77777777" w:rsidR="00FC0B5B" w:rsidRPr="00CB2BA0" w:rsidRDefault="00FC0B5B" w:rsidP="00FC0B5B">
      <w:pPr>
        <w:pStyle w:val="Prrafodelista"/>
        <w:numPr>
          <w:ilvl w:val="0"/>
          <w:numId w:val="19"/>
        </w:numPr>
        <w:jc w:val="both"/>
        <w:rPr>
          <w:rFonts w:ascii="Arial" w:hAnsi="Arial" w:cs="Arial"/>
          <w:b/>
          <w:bCs/>
          <w:sz w:val="24"/>
          <w:szCs w:val="24"/>
        </w:rPr>
      </w:pPr>
      <w:r w:rsidRPr="00CB2BA0">
        <w:rPr>
          <w:rFonts w:ascii="Arial" w:hAnsi="Arial" w:cs="Arial"/>
          <w:b/>
          <w:bCs/>
          <w:sz w:val="24"/>
          <w:szCs w:val="24"/>
        </w:rPr>
        <w:t>Acciones preventivas</w:t>
      </w:r>
    </w:p>
    <w:p w14:paraId="45EF4DBE" w14:textId="77777777" w:rsidR="00FC0B5B" w:rsidRPr="00CB2BA0" w:rsidRDefault="00FC0B5B" w:rsidP="00FC0B5B">
      <w:pPr>
        <w:jc w:val="both"/>
        <w:rPr>
          <w:rFonts w:ascii="Arial" w:hAnsi="Arial" w:cs="Arial"/>
          <w:sz w:val="24"/>
          <w:szCs w:val="24"/>
        </w:rPr>
      </w:pPr>
    </w:p>
    <w:p w14:paraId="088655AF" w14:textId="77777777" w:rsidR="00FC0B5B" w:rsidRPr="009F1C66" w:rsidRDefault="00FC0B5B" w:rsidP="009F1C66">
      <w:pPr>
        <w:pStyle w:val="Prrafodelista"/>
        <w:numPr>
          <w:ilvl w:val="1"/>
          <w:numId w:val="22"/>
        </w:numPr>
        <w:jc w:val="both"/>
        <w:rPr>
          <w:rFonts w:ascii="Arial" w:hAnsi="Arial" w:cs="Arial"/>
          <w:b/>
          <w:sz w:val="24"/>
          <w:szCs w:val="24"/>
        </w:rPr>
      </w:pPr>
      <w:r w:rsidRPr="009F1C66">
        <w:rPr>
          <w:rFonts w:ascii="Arial" w:hAnsi="Arial" w:cs="Arial"/>
          <w:b/>
          <w:sz w:val="24"/>
          <w:szCs w:val="24"/>
        </w:rPr>
        <w:t>Introducción</w:t>
      </w:r>
    </w:p>
    <w:p w14:paraId="2491BE04" w14:textId="77777777" w:rsidR="00FC0B5B" w:rsidRPr="00CB2BA0" w:rsidRDefault="00FC0B5B" w:rsidP="00FC0B5B">
      <w:pPr>
        <w:jc w:val="both"/>
        <w:rPr>
          <w:rFonts w:ascii="Arial" w:hAnsi="Arial" w:cs="Arial"/>
          <w:sz w:val="24"/>
          <w:szCs w:val="24"/>
        </w:rPr>
      </w:pPr>
    </w:p>
    <w:p w14:paraId="06337613" w14:textId="77777777" w:rsidR="00FC0B5B" w:rsidRPr="00CB2BA0" w:rsidRDefault="00FC0B5B" w:rsidP="00FC0B5B">
      <w:pPr>
        <w:jc w:val="both"/>
        <w:rPr>
          <w:rFonts w:ascii="Arial" w:hAnsi="Arial" w:cs="Arial"/>
          <w:sz w:val="24"/>
          <w:szCs w:val="24"/>
        </w:rPr>
      </w:pPr>
      <w:r w:rsidRPr="00CB2BA0">
        <w:rPr>
          <w:rFonts w:ascii="Arial" w:hAnsi="Arial" w:cs="Arial"/>
          <w:sz w:val="24"/>
          <w:szCs w:val="24"/>
        </w:rPr>
        <w:t>Las acciones preventivas consideradas, pretenden propiciar en lo general una cultura de transparencia y rendición de cuentas, para que su alcance se extienda a la mayoría de los fondos y programas federales que son transferidos a las entidades federativas, a sus municipios y Alcaldías de la Ciudad de México.</w:t>
      </w:r>
    </w:p>
    <w:p w14:paraId="7F45697A" w14:textId="77777777" w:rsidR="00FC0B5B" w:rsidRPr="00CB2BA0" w:rsidRDefault="00FC0B5B" w:rsidP="00FC0B5B">
      <w:pPr>
        <w:jc w:val="both"/>
        <w:rPr>
          <w:rFonts w:ascii="Arial" w:hAnsi="Arial" w:cs="Arial"/>
          <w:sz w:val="24"/>
          <w:szCs w:val="24"/>
        </w:rPr>
      </w:pPr>
    </w:p>
    <w:p w14:paraId="24EC5E77" w14:textId="77777777" w:rsidR="00FC0B5B" w:rsidRPr="009F1C66" w:rsidRDefault="00FC0B5B" w:rsidP="009F1C66">
      <w:pPr>
        <w:pStyle w:val="Prrafodelista"/>
        <w:numPr>
          <w:ilvl w:val="1"/>
          <w:numId w:val="22"/>
        </w:numPr>
        <w:jc w:val="both"/>
        <w:rPr>
          <w:rFonts w:ascii="Arial" w:hAnsi="Arial" w:cs="Arial"/>
          <w:b/>
          <w:sz w:val="24"/>
          <w:szCs w:val="24"/>
        </w:rPr>
      </w:pPr>
      <w:r w:rsidRPr="009F1C66">
        <w:rPr>
          <w:rFonts w:ascii="Arial" w:hAnsi="Arial" w:cs="Arial"/>
          <w:b/>
          <w:sz w:val="24"/>
          <w:szCs w:val="24"/>
        </w:rPr>
        <w:t>Acciones preventivas</w:t>
      </w:r>
    </w:p>
    <w:p w14:paraId="1AF0B980" w14:textId="77777777" w:rsidR="00FC0B5B" w:rsidRPr="00CB2BA0" w:rsidRDefault="00FC0B5B" w:rsidP="00FC0B5B">
      <w:pPr>
        <w:jc w:val="both"/>
        <w:rPr>
          <w:rFonts w:ascii="Arial" w:hAnsi="Arial" w:cs="Arial"/>
          <w:sz w:val="24"/>
          <w:szCs w:val="24"/>
        </w:rPr>
      </w:pPr>
    </w:p>
    <w:tbl>
      <w:tblPr>
        <w:tblStyle w:val="Tablaconcuadrcula"/>
        <w:tblW w:w="0" w:type="auto"/>
        <w:tblLook w:val="04A0" w:firstRow="1" w:lastRow="0" w:firstColumn="1" w:lastColumn="0" w:noHBand="0" w:noVBand="1"/>
      </w:tblPr>
      <w:tblGrid>
        <w:gridCol w:w="603"/>
        <w:gridCol w:w="2546"/>
        <w:gridCol w:w="5679"/>
      </w:tblGrid>
      <w:tr w:rsidR="00FC0B5B" w:rsidRPr="00CB2BA0" w14:paraId="58B6E89A" w14:textId="77777777" w:rsidTr="009F1C66">
        <w:tc>
          <w:tcPr>
            <w:tcW w:w="603" w:type="dxa"/>
            <w:shd w:val="clear" w:color="auto" w:fill="FFE599" w:themeFill="accent4" w:themeFillTint="66"/>
            <w:vAlign w:val="center"/>
          </w:tcPr>
          <w:p w14:paraId="200914CE" w14:textId="77777777" w:rsidR="00FC0B5B" w:rsidRPr="00CB2BA0" w:rsidRDefault="00FC0B5B" w:rsidP="009F1C66">
            <w:pPr>
              <w:jc w:val="center"/>
              <w:rPr>
                <w:rFonts w:ascii="Arial" w:hAnsi="Arial" w:cs="Arial"/>
                <w:b/>
                <w:bCs/>
                <w:sz w:val="24"/>
                <w:szCs w:val="24"/>
              </w:rPr>
            </w:pPr>
            <w:r w:rsidRPr="00CB2BA0">
              <w:rPr>
                <w:rFonts w:ascii="Arial" w:hAnsi="Arial" w:cs="Arial"/>
                <w:b/>
                <w:bCs/>
                <w:sz w:val="24"/>
                <w:szCs w:val="24"/>
              </w:rPr>
              <w:t>No.</w:t>
            </w:r>
          </w:p>
        </w:tc>
        <w:tc>
          <w:tcPr>
            <w:tcW w:w="2546" w:type="dxa"/>
            <w:shd w:val="clear" w:color="auto" w:fill="FFE599" w:themeFill="accent4" w:themeFillTint="66"/>
            <w:vAlign w:val="center"/>
          </w:tcPr>
          <w:p w14:paraId="176FEA3F" w14:textId="77777777" w:rsidR="00FC0B5B" w:rsidRPr="00CB2BA0" w:rsidRDefault="00FC0B5B" w:rsidP="009F1C66">
            <w:pPr>
              <w:jc w:val="center"/>
              <w:rPr>
                <w:rFonts w:ascii="Arial" w:hAnsi="Arial" w:cs="Arial"/>
                <w:b/>
                <w:bCs/>
                <w:sz w:val="24"/>
                <w:szCs w:val="24"/>
              </w:rPr>
            </w:pPr>
            <w:r w:rsidRPr="00CB2BA0">
              <w:rPr>
                <w:rFonts w:ascii="Arial" w:hAnsi="Arial" w:cs="Arial"/>
                <w:b/>
                <w:bCs/>
                <w:sz w:val="24"/>
                <w:szCs w:val="24"/>
              </w:rPr>
              <w:t>Problemática</w:t>
            </w:r>
          </w:p>
        </w:tc>
        <w:tc>
          <w:tcPr>
            <w:tcW w:w="5679" w:type="dxa"/>
            <w:shd w:val="clear" w:color="auto" w:fill="FFE599" w:themeFill="accent4" w:themeFillTint="66"/>
            <w:vAlign w:val="center"/>
          </w:tcPr>
          <w:p w14:paraId="3B7A2A56" w14:textId="77777777" w:rsidR="00FC0B5B" w:rsidRPr="00CB2BA0" w:rsidRDefault="00FC0B5B" w:rsidP="009F1C66">
            <w:pPr>
              <w:jc w:val="center"/>
              <w:rPr>
                <w:rFonts w:ascii="Arial" w:hAnsi="Arial" w:cs="Arial"/>
                <w:b/>
                <w:bCs/>
                <w:sz w:val="24"/>
                <w:szCs w:val="24"/>
              </w:rPr>
            </w:pPr>
            <w:r w:rsidRPr="00CB2BA0">
              <w:rPr>
                <w:rFonts w:ascii="Arial" w:hAnsi="Arial" w:cs="Arial"/>
                <w:b/>
                <w:bCs/>
                <w:sz w:val="24"/>
                <w:szCs w:val="24"/>
              </w:rPr>
              <w:t>Acción preventiva</w:t>
            </w:r>
          </w:p>
        </w:tc>
      </w:tr>
      <w:tr w:rsidR="00FC0B5B" w:rsidRPr="00CB2BA0" w14:paraId="4F027F04" w14:textId="77777777" w:rsidTr="009F1C66">
        <w:tc>
          <w:tcPr>
            <w:tcW w:w="603" w:type="dxa"/>
            <w:vAlign w:val="center"/>
          </w:tcPr>
          <w:p w14:paraId="7C064118"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1</w:t>
            </w:r>
          </w:p>
        </w:tc>
        <w:tc>
          <w:tcPr>
            <w:tcW w:w="2546" w:type="dxa"/>
            <w:vAlign w:val="center"/>
          </w:tcPr>
          <w:p w14:paraId="16FC3E2A"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Recursos no comprometidos o devengados según la normativa aplicable.</w:t>
            </w:r>
          </w:p>
        </w:tc>
        <w:tc>
          <w:tcPr>
            <w:tcW w:w="5679" w:type="dxa"/>
            <w:vAlign w:val="center"/>
          </w:tcPr>
          <w:p w14:paraId="65E9A241"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 xml:space="preserve">Las entidades federativas a través de las Secretarías de Finanzas o sus equivalentes en los Estados, deberán iniciar oportunamente las gestiones para la autorización y suscripción de los instrumentos jurídicos de transferencia de recursos públicos de los fondos y programas federales. Para ello, contarán previamente con la planeación y definición de la cartera de proyectos a financiarse. Asimismo, deberán cumplir en tiempo y forma con los requisitos establecidos por la Secretaría de Hacienda y Crédito Público, lo que garantizaría la ministración oportuna de los recursos federales convenidos a las entidades federativas y con ello, el cumplimiento de que los recursos federales se comprometan, </w:t>
            </w:r>
            <w:proofErr w:type="gramStart"/>
            <w:r w:rsidRPr="00CB2BA0">
              <w:rPr>
                <w:rFonts w:ascii="Arial" w:hAnsi="Arial" w:cs="Arial"/>
                <w:sz w:val="24"/>
                <w:szCs w:val="24"/>
              </w:rPr>
              <w:t>devenguen</w:t>
            </w:r>
            <w:proofErr w:type="gramEnd"/>
            <w:r w:rsidRPr="00CB2BA0">
              <w:rPr>
                <w:rFonts w:ascii="Arial" w:hAnsi="Arial" w:cs="Arial"/>
                <w:sz w:val="24"/>
                <w:szCs w:val="24"/>
              </w:rPr>
              <w:t>, ejerzan y se paguen de conformidad con la normatividad aplicable.</w:t>
            </w:r>
          </w:p>
        </w:tc>
      </w:tr>
      <w:tr w:rsidR="00FC0B5B" w:rsidRPr="00CB2BA0" w14:paraId="0F157B77" w14:textId="77777777" w:rsidTr="009F1C66">
        <w:tc>
          <w:tcPr>
            <w:tcW w:w="603" w:type="dxa"/>
            <w:vAlign w:val="center"/>
          </w:tcPr>
          <w:p w14:paraId="2DCF8968"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2</w:t>
            </w:r>
          </w:p>
        </w:tc>
        <w:tc>
          <w:tcPr>
            <w:tcW w:w="2546" w:type="dxa"/>
            <w:vAlign w:val="center"/>
          </w:tcPr>
          <w:p w14:paraId="0DD7232A"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116CC792" w14:textId="77777777" w:rsidR="00FC0B5B" w:rsidRDefault="00FC0B5B" w:rsidP="000F0972">
            <w:pPr>
              <w:jc w:val="both"/>
              <w:rPr>
                <w:rFonts w:ascii="Arial" w:hAnsi="Arial" w:cs="Arial"/>
                <w:sz w:val="24"/>
                <w:szCs w:val="24"/>
              </w:rPr>
            </w:pPr>
            <w:r w:rsidRPr="00CB2BA0">
              <w:rPr>
                <w:rFonts w:ascii="Arial" w:hAnsi="Arial" w:cs="Arial"/>
                <w:sz w:val="24"/>
                <w:szCs w:val="24"/>
              </w:rPr>
              <w:t>Las Secretarías de Finanzas o sus equivalentes en los Estados, informarán, y con oportunidad, a las instancias ejecutoras, los montos que les serán ministrados, la fuente del financiamiento, los periodos de ejecución y el destino de los recursos públicos federales, para garantizar su adecuado y oportuno ejercicio. Asimismo, les proporcionarán la normatividad específica aplicable y, en su caso, suscribirán los convenios de colaboración que al efecto se requieran, vigilando en todo momento la óptima aplicación del presupuesto en el marco de la normativa correspondiente.</w:t>
            </w:r>
          </w:p>
          <w:p w14:paraId="1530E031" w14:textId="77777777" w:rsidR="009F1C66" w:rsidRPr="00CB2BA0" w:rsidRDefault="009F1C66" w:rsidP="000F0972">
            <w:pPr>
              <w:jc w:val="both"/>
              <w:rPr>
                <w:rFonts w:ascii="Arial" w:hAnsi="Arial" w:cs="Arial"/>
                <w:sz w:val="24"/>
                <w:szCs w:val="24"/>
              </w:rPr>
            </w:pPr>
          </w:p>
        </w:tc>
      </w:tr>
      <w:tr w:rsidR="009F1C66" w:rsidRPr="00CB2BA0" w14:paraId="5B102C5D" w14:textId="77777777" w:rsidTr="009F1C66">
        <w:tc>
          <w:tcPr>
            <w:tcW w:w="603" w:type="dxa"/>
            <w:shd w:val="clear" w:color="auto" w:fill="FFE599" w:themeFill="accent4" w:themeFillTint="66"/>
            <w:vAlign w:val="center"/>
          </w:tcPr>
          <w:p w14:paraId="462E3888"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No.</w:t>
            </w:r>
          </w:p>
        </w:tc>
        <w:tc>
          <w:tcPr>
            <w:tcW w:w="2546" w:type="dxa"/>
            <w:shd w:val="clear" w:color="auto" w:fill="FFE599" w:themeFill="accent4" w:themeFillTint="66"/>
            <w:vAlign w:val="center"/>
          </w:tcPr>
          <w:p w14:paraId="763B8B00"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Problemática</w:t>
            </w:r>
          </w:p>
        </w:tc>
        <w:tc>
          <w:tcPr>
            <w:tcW w:w="5679" w:type="dxa"/>
            <w:shd w:val="clear" w:color="auto" w:fill="FFE599" w:themeFill="accent4" w:themeFillTint="66"/>
            <w:vAlign w:val="center"/>
          </w:tcPr>
          <w:p w14:paraId="655077C8"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Acción preventiva</w:t>
            </w:r>
          </w:p>
        </w:tc>
      </w:tr>
      <w:tr w:rsidR="00FC0B5B" w:rsidRPr="00CB2BA0" w14:paraId="70180868" w14:textId="77777777" w:rsidTr="009F1C66">
        <w:tc>
          <w:tcPr>
            <w:tcW w:w="603" w:type="dxa"/>
            <w:vAlign w:val="center"/>
          </w:tcPr>
          <w:p w14:paraId="1682DD87"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3</w:t>
            </w:r>
          </w:p>
        </w:tc>
        <w:tc>
          <w:tcPr>
            <w:tcW w:w="2546" w:type="dxa"/>
            <w:vAlign w:val="center"/>
          </w:tcPr>
          <w:p w14:paraId="3579538B"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0A86CAA0"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 xml:space="preserve">Por ningún motivo la entidad administradora y/o ejecutora de los recursos públicos deberá efectuar egresos de la cuenta bancaria específica, que no correspondan a operaciones vinculadas con el </w:t>
            </w:r>
            <w:r w:rsidRPr="00CB2BA0">
              <w:rPr>
                <w:rFonts w:ascii="Arial" w:hAnsi="Arial" w:cs="Arial"/>
                <w:sz w:val="24"/>
                <w:szCs w:val="24"/>
              </w:rPr>
              <w:lastRenderedPageBreak/>
              <w:t>gasto autorizado, independientemente de que tales movimientos sean temporales.</w:t>
            </w:r>
          </w:p>
        </w:tc>
      </w:tr>
      <w:tr w:rsidR="00FC0B5B" w:rsidRPr="00CB2BA0" w14:paraId="62BC11C8" w14:textId="77777777" w:rsidTr="009F1C66">
        <w:tc>
          <w:tcPr>
            <w:tcW w:w="603" w:type="dxa"/>
            <w:vAlign w:val="center"/>
          </w:tcPr>
          <w:p w14:paraId="65076508"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lastRenderedPageBreak/>
              <w:t>4</w:t>
            </w:r>
          </w:p>
        </w:tc>
        <w:tc>
          <w:tcPr>
            <w:tcW w:w="2546" w:type="dxa"/>
            <w:vAlign w:val="center"/>
          </w:tcPr>
          <w:p w14:paraId="67BBC96F"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Recursos destinados a fines distintos a los autorizados.</w:t>
            </w:r>
          </w:p>
        </w:tc>
        <w:tc>
          <w:tcPr>
            <w:tcW w:w="5679" w:type="dxa"/>
            <w:vAlign w:val="center"/>
          </w:tcPr>
          <w:p w14:paraId="2A2B85E3"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Las entidades administradoras y ejecutoras deberán destinar los recursos públicos, exclusivamente, a las obras o acciones de la cartera de proyectos autorizados mediante los instrumentos jurídicos de transferencia de recursos, originales o sus modificatorios. Queda estrictamente prohibido su destino al gasto corriente y de operación, salvo disposición en específico.</w:t>
            </w:r>
          </w:p>
        </w:tc>
      </w:tr>
      <w:tr w:rsidR="00FC0B5B" w:rsidRPr="00CB2BA0" w14:paraId="2033D7FF" w14:textId="77777777" w:rsidTr="009F1C66">
        <w:tc>
          <w:tcPr>
            <w:tcW w:w="603" w:type="dxa"/>
            <w:vAlign w:val="center"/>
          </w:tcPr>
          <w:p w14:paraId="640307F6"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5</w:t>
            </w:r>
          </w:p>
        </w:tc>
        <w:tc>
          <w:tcPr>
            <w:tcW w:w="2546" w:type="dxa"/>
            <w:vAlign w:val="center"/>
          </w:tcPr>
          <w:p w14:paraId="63554E31"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5AA5A83B"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Las entidades administradoras y ejecutoras deberán destinar también los recursos públicos autorizados, según las disposiciones que sean aplicables, para: los órganos superiores de fiscalización locales; el uno al millar para realizar las acciones de vigilancia, inspección, control de la obra por administración directa; y para los gastos indirectos; así como los rendimientos generados para la ampliación de metas de aquellos proyectos que formen parte de la cartera autorizada.</w:t>
            </w:r>
          </w:p>
        </w:tc>
      </w:tr>
      <w:tr w:rsidR="00FC0B5B" w:rsidRPr="00CB2BA0" w14:paraId="33758802" w14:textId="77777777" w:rsidTr="009F1C66">
        <w:tc>
          <w:tcPr>
            <w:tcW w:w="603" w:type="dxa"/>
            <w:vAlign w:val="center"/>
          </w:tcPr>
          <w:p w14:paraId="7FF20F13"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6</w:t>
            </w:r>
          </w:p>
        </w:tc>
        <w:tc>
          <w:tcPr>
            <w:tcW w:w="2546" w:type="dxa"/>
            <w:vAlign w:val="center"/>
          </w:tcPr>
          <w:p w14:paraId="04394A03"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24D8FD2E"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La entidad ejecutora no deberá celebrar contratos de obra pública o de adquisiciones con contratistas o proveedores que no le entreguen la evidencia física y electrónica de la opinión del cumplimiento de obligaciones fiscales (opinión positiva), expedida por el Servicio de Administración Tributaria. La entidad ejecutora dará lectura al código binario para constatar la veracidad de los datos.</w:t>
            </w:r>
          </w:p>
        </w:tc>
      </w:tr>
      <w:tr w:rsidR="00FC0B5B" w:rsidRPr="00CB2BA0" w14:paraId="0369A578" w14:textId="77777777" w:rsidTr="009F1C66">
        <w:tc>
          <w:tcPr>
            <w:tcW w:w="603" w:type="dxa"/>
            <w:vAlign w:val="center"/>
          </w:tcPr>
          <w:p w14:paraId="3EEF7457"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7</w:t>
            </w:r>
          </w:p>
        </w:tc>
        <w:tc>
          <w:tcPr>
            <w:tcW w:w="2546" w:type="dxa"/>
            <w:vAlign w:val="center"/>
          </w:tcPr>
          <w:p w14:paraId="034F0F9E"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0B16C3FE"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Las entidades ejecutoras deberán adjudicar los contratos por licitación pública y evitar las adjudicaciones por excepción a este procedimiento. En dichas excepciones tendrá el cuidado escrupuloso para dar cumplimiento irrestricto a las disposiciones normativas aplicables.</w:t>
            </w:r>
          </w:p>
        </w:tc>
      </w:tr>
      <w:tr w:rsidR="00FC0B5B" w:rsidRPr="00CB2BA0" w14:paraId="76C1D768" w14:textId="77777777" w:rsidTr="009F1C66">
        <w:tc>
          <w:tcPr>
            <w:tcW w:w="603" w:type="dxa"/>
            <w:vAlign w:val="center"/>
          </w:tcPr>
          <w:p w14:paraId="06FDADED"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8</w:t>
            </w:r>
          </w:p>
        </w:tc>
        <w:tc>
          <w:tcPr>
            <w:tcW w:w="2546" w:type="dxa"/>
            <w:vAlign w:val="center"/>
          </w:tcPr>
          <w:p w14:paraId="4D06104D"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7CAC3D8A"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La entidad pagadora deberá mantener integrada, durante el ejercicio del gasto, la documentación comprobatoria de los pagos efectuados, que deberá entregar al organismo auditor con la oportunidad requerida, con los estados de la cuenta bancaria específica y los registros contables.</w:t>
            </w:r>
          </w:p>
        </w:tc>
      </w:tr>
      <w:tr w:rsidR="009F1C66" w:rsidRPr="00CB2BA0" w14:paraId="2CDFF752" w14:textId="77777777" w:rsidTr="000F0972">
        <w:tc>
          <w:tcPr>
            <w:tcW w:w="603" w:type="dxa"/>
            <w:shd w:val="clear" w:color="auto" w:fill="FFE599" w:themeFill="accent4" w:themeFillTint="66"/>
            <w:vAlign w:val="center"/>
          </w:tcPr>
          <w:p w14:paraId="0571AFCA"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No.</w:t>
            </w:r>
          </w:p>
        </w:tc>
        <w:tc>
          <w:tcPr>
            <w:tcW w:w="2546" w:type="dxa"/>
            <w:shd w:val="clear" w:color="auto" w:fill="FFE599" w:themeFill="accent4" w:themeFillTint="66"/>
            <w:vAlign w:val="center"/>
          </w:tcPr>
          <w:p w14:paraId="7571875C"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Problemática</w:t>
            </w:r>
          </w:p>
        </w:tc>
        <w:tc>
          <w:tcPr>
            <w:tcW w:w="5679" w:type="dxa"/>
            <w:shd w:val="clear" w:color="auto" w:fill="FFE599" w:themeFill="accent4" w:themeFillTint="66"/>
            <w:vAlign w:val="center"/>
          </w:tcPr>
          <w:p w14:paraId="1F62D05B"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Acción preventiva</w:t>
            </w:r>
          </w:p>
        </w:tc>
      </w:tr>
      <w:tr w:rsidR="00FC0B5B" w:rsidRPr="00CB2BA0" w14:paraId="133D1634" w14:textId="77777777" w:rsidTr="009F1C66">
        <w:tc>
          <w:tcPr>
            <w:tcW w:w="603" w:type="dxa"/>
            <w:vAlign w:val="center"/>
          </w:tcPr>
          <w:p w14:paraId="271FCA79"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9</w:t>
            </w:r>
          </w:p>
        </w:tc>
        <w:tc>
          <w:tcPr>
            <w:tcW w:w="2546" w:type="dxa"/>
            <w:vAlign w:val="center"/>
          </w:tcPr>
          <w:p w14:paraId="09A75AF4"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Falta de documentación comprobatoria.</w:t>
            </w:r>
          </w:p>
        </w:tc>
        <w:tc>
          <w:tcPr>
            <w:tcW w:w="5679" w:type="dxa"/>
            <w:vAlign w:val="center"/>
          </w:tcPr>
          <w:p w14:paraId="7458F1B1"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 xml:space="preserve">La entidad ejecutora (contratante) deberá mantener integrada permanentemente, la documentación soporte de todo el proceso de planeación y de obtención de permisos de los proyectos, de </w:t>
            </w:r>
            <w:r w:rsidRPr="00CB2BA0">
              <w:rPr>
                <w:rFonts w:ascii="Arial" w:hAnsi="Arial" w:cs="Arial"/>
                <w:sz w:val="24"/>
                <w:szCs w:val="24"/>
              </w:rPr>
              <w:lastRenderedPageBreak/>
              <w:t xml:space="preserve">contratación y del cumplimiento de los contratos (expediente unitario), que deberá entregar al organismo auditor con la oportunidad requerida, como evidencia para demostrar que se dio cabalmente cumplimiento a las disposiciones de la </w:t>
            </w:r>
            <w:proofErr w:type="gramStart"/>
            <w:r w:rsidRPr="00CB2BA0">
              <w:rPr>
                <w:rFonts w:ascii="Arial" w:hAnsi="Arial" w:cs="Arial"/>
                <w:sz w:val="24"/>
                <w:szCs w:val="24"/>
              </w:rPr>
              <w:t>LOPSRM ,</w:t>
            </w:r>
            <w:proofErr w:type="gramEnd"/>
            <w:r w:rsidRPr="00CB2BA0">
              <w:rPr>
                <w:rFonts w:ascii="Arial" w:hAnsi="Arial" w:cs="Arial"/>
                <w:sz w:val="24"/>
                <w:szCs w:val="24"/>
              </w:rPr>
              <w:t xml:space="preserve">  LAASSP y sus Reglamentos</w:t>
            </w:r>
          </w:p>
        </w:tc>
      </w:tr>
      <w:tr w:rsidR="00FC0B5B" w:rsidRPr="00CB2BA0" w14:paraId="2294BB81" w14:textId="77777777" w:rsidTr="009F1C66">
        <w:tc>
          <w:tcPr>
            <w:tcW w:w="603" w:type="dxa"/>
            <w:vAlign w:val="center"/>
          </w:tcPr>
          <w:p w14:paraId="298988F5"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lastRenderedPageBreak/>
              <w:t>10</w:t>
            </w:r>
          </w:p>
        </w:tc>
        <w:tc>
          <w:tcPr>
            <w:tcW w:w="2546" w:type="dxa"/>
            <w:vAlign w:val="center"/>
          </w:tcPr>
          <w:p w14:paraId="1C57DE19" w14:textId="77777777" w:rsidR="00FC0B5B" w:rsidRPr="00CB2BA0" w:rsidRDefault="00FC0B5B" w:rsidP="009F1C66">
            <w:pPr>
              <w:jc w:val="center"/>
              <w:rPr>
                <w:rFonts w:ascii="Arial" w:hAnsi="Arial" w:cs="Arial"/>
                <w:sz w:val="24"/>
                <w:szCs w:val="24"/>
                <w:lang w:val="pt-BR"/>
              </w:rPr>
            </w:pPr>
            <w:r w:rsidRPr="00CB2BA0">
              <w:rPr>
                <w:rFonts w:ascii="Arial" w:hAnsi="Arial" w:cs="Arial"/>
                <w:sz w:val="24"/>
                <w:szCs w:val="24"/>
                <w:lang w:val="pt-BR"/>
              </w:rPr>
              <w:t>Conceptos de obra pagados no ejecutados.</w:t>
            </w:r>
          </w:p>
        </w:tc>
        <w:tc>
          <w:tcPr>
            <w:tcW w:w="5679" w:type="dxa"/>
            <w:vAlign w:val="center"/>
          </w:tcPr>
          <w:p w14:paraId="71F0164F"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Las entidades ejecutoras se abstendrán de autorizar el pago de estimaciones cuyos números generadores no se hayan validado de acuerdo con los avances físicos de las obras, y deberán controlar dichos avances para que éstas se realicen en tiempo y forma. Una vez notificada la terminación de los trabajos, deberán vigilar el estricto cumplimiento del proceso de entrega recepción y finiquito de las obras.</w:t>
            </w:r>
          </w:p>
        </w:tc>
      </w:tr>
      <w:tr w:rsidR="00FC0B5B" w:rsidRPr="00CB2BA0" w14:paraId="2EE1DE33" w14:textId="77777777" w:rsidTr="009F1C66">
        <w:tc>
          <w:tcPr>
            <w:tcW w:w="603" w:type="dxa"/>
            <w:vAlign w:val="center"/>
          </w:tcPr>
          <w:p w14:paraId="3EE9FF6F"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11</w:t>
            </w:r>
          </w:p>
        </w:tc>
        <w:tc>
          <w:tcPr>
            <w:tcW w:w="2546" w:type="dxa"/>
            <w:vAlign w:val="center"/>
          </w:tcPr>
          <w:p w14:paraId="31F90850"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Recursos no comprometidos o devengados según la normativa aplicable.</w:t>
            </w:r>
          </w:p>
        </w:tc>
        <w:tc>
          <w:tcPr>
            <w:tcW w:w="5679" w:type="dxa"/>
            <w:vAlign w:val="center"/>
          </w:tcPr>
          <w:p w14:paraId="39C0A760" w14:textId="77777777" w:rsidR="00FC0B5B" w:rsidRPr="00CB2BA0" w:rsidRDefault="00FC0B5B" w:rsidP="00CD48AF">
            <w:pPr>
              <w:jc w:val="both"/>
              <w:rPr>
                <w:rFonts w:ascii="Arial" w:hAnsi="Arial" w:cs="Arial"/>
                <w:sz w:val="24"/>
                <w:szCs w:val="24"/>
              </w:rPr>
            </w:pPr>
            <w:r w:rsidRPr="00CB2BA0">
              <w:rPr>
                <w:rFonts w:ascii="Arial" w:hAnsi="Arial" w:cs="Arial"/>
                <w:sz w:val="24"/>
                <w:szCs w:val="24"/>
              </w:rPr>
              <w:t>Las entidades ejecutoras se abstendrán de celebrar convenios modificatorios en monto, con cargo a los ahorros y a las economías del presupuesto autorizado, para vincularlos a compromisos y obligaciones formales de pago que tengan por objeto evitar el reintegro de recursos.</w:t>
            </w:r>
          </w:p>
        </w:tc>
      </w:tr>
      <w:tr w:rsidR="00FC0B5B" w:rsidRPr="00CB2BA0" w14:paraId="7B92443C" w14:textId="77777777" w:rsidTr="009F1C66">
        <w:tc>
          <w:tcPr>
            <w:tcW w:w="603" w:type="dxa"/>
            <w:vAlign w:val="center"/>
          </w:tcPr>
          <w:p w14:paraId="2A161994"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12</w:t>
            </w:r>
          </w:p>
        </w:tc>
        <w:tc>
          <w:tcPr>
            <w:tcW w:w="2546" w:type="dxa"/>
            <w:vAlign w:val="center"/>
          </w:tcPr>
          <w:p w14:paraId="2CE00E72"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2A96F06D"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Las entidades ejecutoras deberán vigilar también el cumplimiento de las disposiciones que regulan el uso de la Bitácora Electrónica de Obra Pública (BEOP) y el Sistema Electrónico de Información Pública Gubernamental (COMPRANET).</w:t>
            </w:r>
          </w:p>
        </w:tc>
      </w:tr>
      <w:tr w:rsidR="00FC0B5B" w:rsidRPr="00CB2BA0" w14:paraId="156F503C" w14:textId="77777777" w:rsidTr="009F1C66">
        <w:tc>
          <w:tcPr>
            <w:tcW w:w="603" w:type="dxa"/>
            <w:vAlign w:val="center"/>
          </w:tcPr>
          <w:p w14:paraId="3550AC4E"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13</w:t>
            </w:r>
          </w:p>
        </w:tc>
        <w:tc>
          <w:tcPr>
            <w:tcW w:w="2546" w:type="dxa"/>
            <w:vAlign w:val="center"/>
          </w:tcPr>
          <w:p w14:paraId="72EF0593"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Recursos no comprometidos o devengados según la normativa aplicable.</w:t>
            </w:r>
          </w:p>
        </w:tc>
        <w:tc>
          <w:tcPr>
            <w:tcW w:w="5679" w:type="dxa"/>
            <w:vAlign w:val="center"/>
          </w:tcPr>
          <w:p w14:paraId="56B5BF0E" w14:textId="77777777" w:rsidR="00FC0B5B" w:rsidRPr="00CB2BA0" w:rsidRDefault="00FC0B5B" w:rsidP="009F1C66">
            <w:pPr>
              <w:jc w:val="both"/>
              <w:rPr>
                <w:rFonts w:ascii="Arial" w:hAnsi="Arial" w:cs="Arial"/>
                <w:sz w:val="24"/>
                <w:szCs w:val="24"/>
              </w:rPr>
            </w:pPr>
            <w:r w:rsidRPr="00CB2BA0">
              <w:rPr>
                <w:rFonts w:ascii="Arial" w:hAnsi="Arial" w:cs="Arial"/>
                <w:sz w:val="24"/>
                <w:szCs w:val="24"/>
              </w:rPr>
              <w:t>Las entidades administradoras y ejecutoras deberán tomar las previsiones procedentes para que los recursos públicos del ejercicio presupuestal que corresponda, se vinculen a compromisos y obligaciones formales de pago asegur</w:t>
            </w:r>
            <w:r w:rsidR="009F1C66">
              <w:rPr>
                <w:rFonts w:ascii="Arial" w:hAnsi="Arial" w:cs="Arial"/>
                <w:sz w:val="24"/>
                <w:szCs w:val="24"/>
              </w:rPr>
              <w:t>ando</w:t>
            </w:r>
            <w:r w:rsidRPr="00CB2BA0">
              <w:rPr>
                <w:rFonts w:ascii="Arial" w:hAnsi="Arial" w:cs="Arial"/>
                <w:sz w:val="24"/>
                <w:szCs w:val="24"/>
              </w:rPr>
              <w:t xml:space="preserve"> su devengo conforme a la anualidad del gasto o al plazo de ejecución autorizado, en cumplimiento del principio de eficiencia, instituido constitucionalmente para satisfacer los objetivos a los que estén destinados. Es decir, si no existe un calendario de ejecución establecido en el instrumento jurídico de transferencia, los recursos deben devengarse a más tardar el último día hábil de diciembre por lo que deben comprometerse con la anticipación debida.</w:t>
            </w:r>
          </w:p>
        </w:tc>
      </w:tr>
      <w:tr w:rsidR="009F1C66" w:rsidRPr="00CB2BA0" w14:paraId="602BE024" w14:textId="77777777" w:rsidTr="000F0972">
        <w:tc>
          <w:tcPr>
            <w:tcW w:w="603" w:type="dxa"/>
            <w:shd w:val="clear" w:color="auto" w:fill="FFE599" w:themeFill="accent4" w:themeFillTint="66"/>
            <w:vAlign w:val="center"/>
          </w:tcPr>
          <w:p w14:paraId="6A65C099"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No.</w:t>
            </w:r>
          </w:p>
        </w:tc>
        <w:tc>
          <w:tcPr>
            <w:tcW w:w="2546" w:type="dxa"/>
            <w:shd w:val="clear" w:color="auto" w:fill="FFE599" w:themeFill="accent4" w:themeFillTint="66"/>
            <w:vAlign w:val="center"/>
          </w:tcPr>
          <w:p w14:paraId="5C9A8D44"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Problemática</w:t>
            </w:r>
          </w:p>
        </w:tc>
        <w:tc>
          <w:tcPr>
            <w:tcW w:w="5679" w:type="dxa"/>
            <w:shd w:val="clear" w:color="auto" w:fill="FFE599" w:themeFill="accent4" w:themeFillTint="66"/>
            <w:vAlign w:val="center"/>
          </w:tcPr>
          <w:p w14:paraId="302A41D2" w14:textId="77777777" w:rsidR="009F1C66" w:rsidRPr="00CB2BA0" w:rsidRDefault="009F1C66" w:rsidP="000F0972">
            <w:pPr>
              <w:jc w:val="center"/>
              <w:rPr>
                <w:rFonts w:ascii="Arial" w:hAnsi="Arial" w:cs="Arial"/>
                <w:b/>
                <w:bCs/>
                <w:sz w:val="24"/>
                <w:szCs w:val="24"/>
              </w:rPr>
            </w:pPr>
            <w:r w:rsidRPr="00CB2BA0">
              <w:rPr>
                <w:rFonts w:ascii="Arial" w:hAnsi="Arial" w:cs="Arial"/>
                <w:b/>
                <w:bCs/>
                <w:sz w:val="24"/>
                <w:szCs w:val="24"/>
              </w:rPr>
              <w:t>Acción preventiva</w:t>
            </w:r>
          </w:p>
        </w:tc>
      </w:tr>
      <w:tr w:rsidR="00FC0B5B" w:rsidRPr="00CB2BA0" w14:paraId="30608DD7" w14:textId="77777777" w:rsidTr="009F1C66">
        <w:tc>
          <w:tcPr>
            <w:tcW w:w="603" w:type="dxa"/>
            <w:vAlign w:val="center"/>
          </w:tcPr>
          <w:p w14:paraId="0E42B087"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14</w:t>
            </w:r>
          </w:p>
        </w:tc>
        <w:tc>
          <w:tcPr>
            <w:tcW w:w="2546" w:type="dxa"/>
            <w:vAlign w:val="center"/>
          </w:tcPr>
          <w:p w14:paraId="2F7AF0A7"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1A6F06B2"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 xml:space="preserve">Las entidades ejecutoras del gasto deberán contar con un sistema integral de contabilidad que garantice el registro contable y presupuestal de las operaciones, a fin de controlar los recursos por </w:t>
            </w:r>
            <w:r w:rsidRPr="00CB2BA0">
              <w:rPr>
                <w:rFonts w:ascii="Arial" w:hAnsi="Arial" w:cs="Arial"/>
                <w:sz w:val="24"/>
                <w:szCs w:val="24"/>
              </w:rPr>
              <w:lastRenderedPageBreak/>
              <w:t>fuente de financiamiento y contribuir a la adecuada rendición de cuentas y la transparencia. Asimismo, vigilarán que el ejercicio del recurso atienda a los momentos contables del gasto comprometido, devengado, ejercido y pagado, conforme a lo dispuesto en la normativa aplicable.</w:t>
            </w:r>
          </w:p>
        </w:tc>
      </w:tr>
      <w:tr w:rsidR="00FC0B5B" w:rsidRPr="00CB2BA0" w14:paraId="14558F9E" w14:textId="77777777" w:rsidTr="009F1C66">
        <w:tc>
          <w:tcPr>
            <w:tcW w:w="603" w:type="dxa"/>
            <w:vAlign w:val="center"/>
          </w:tcPr>
          <w:p w14:paraId="032E4D45"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lastRenderedPageBreak/>
              <w:t>15</w:t>
            </w:r>
          </w:p>
        </w:tc>
        <w:tc>
          <w:tcPr>
            <w:tcW w:w="2546" w:type="dxa"/>
            <w:vAlign w:val="center"/>
          </w:tcPr>
          <w:p w14:paraId="22571394"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0196E180"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Los almacenes generales del sector salud en las entidades federativas deberán implementar un sistema de contabilidad integral que les permita controlar de manera específica y por fuente de financiamiento, las adquisiciones realizadas y los momentos contables del egreso. Se les sugiere adoptar como método de control de inventarios, el sistema PEPS (primeras entradas primeras salidas).</w:t>
            </w:r>
          </w:p>
        </w:tc>
      </w:tr>
      <w:tr w:rsidR="00FC0B5B" w:rsidRPr="00CB2BA0" w14:paraId="49DDB65F" w14:textId="77777777" w:rsidTr="009F1C66">
        <w:tc>
          <w:tcPr>
            <w:tcW w:w="603" w:type="dxa"/>
            <w:vAlign w:val="center"/>
          </w:tcPr>
          <w:p w14:paraId="31736902"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16</w:t>
            </w:r>
          </w:p>
        </w:tc>
        <w:tc>
          <w:tcPr>
            <w:tcW w:w="2546" w:type="dxa"/>
            <w:vAlign w:val="center"/>
          </w:tcPr>
          <w:p w14:paraId="33903114"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3DB7A911"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Las Secretarías de Educación y de Salud de las entidades federativas deberán depurar y actualizar la asignación del personal en cada uno de los centros de trabajo, así como mantener bases de datos homogéneas del pago de nómina.</w:t>
            </w:r>
          </w:p>
        </w:tc>
      </w:tr>
      <w:tr w:rsidR="00FC0B5B" w:rsidRPr="00CB2BA0" w14:paraId="09D7BADB" w14:textId="77777777" w:rsidTr="009F1C66">
        <w:tc>
          <w:tcPr>
            <w:tcW w:w="603" w:type="dxa"/>
            <w:vAlign w:val="center"/>
          </w:tcPr>
          <w:p w14:paraId="59AA3DB7"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17</w:t>
            </w:r>
          </w:p>
        </w:tc>
        <w:tc>
          <w:tcPr>
            <w:tcW w:w="2546" w:type="dxa"/>
            <w:vAlign w:val="center"/>
          </w:tcPr>
          <w:p w14:paraId="730E8233" w14:textId="77777777" w:rsidR="00FC0B5B" w:rsidRPr="00CB2BA0" w:rsidRDefault="00FC0B5B" w:rsidP="009F1C66">
            <w:pPr>
              <w:jc w:val="center"/>
              <w:rPr>
                <w:rFonts w:ascii="Arial" w:hAnsi="Arial" w:cs="Arial"/>
                <w:sz w:val="24"/>
                <w:szCs w:val="24"/>
              </w:rPr>
            </w:pPr>
            <w:r w:rsidRPr="00CB2BA0">
              <w:rPr>
                <w:rFonts w:ascii="Arial" w:hAnsi="Arial" w:cs="Arial"/>
                <w:sz w:val="24"/>
                <w:szCs w:val="24"/>
              </w:rPr>
              <w:t>Incumplimientos a la normativa aplicable.</w:t>
            </w:r>
          </w:p>
        </w:tc>
        <w:tc>
          <w:tcPr>
            <w:tcW w:w="5679" w:type="dxa"/>
            <w:vAlign w:val="center"/>
          </w:tcPr>
          <w:p w14:paraId="0EA5CDE0" w14:textId="77777777" w:rsidR="00FC0B5B" w:rsidRPr="00CB2BA0" w:rsidRDefault="00FC0B5B" w:rsidP="000F0972">
            <w:pPr>
              <w:jc w:val="both"/>
              <w:rPr>
                <w:rFonts w:ascii="Arial" w:hAnsi="Arial" w:cs="Arial"/>
                <w:sz w:val="24"/>
                <w:szCs w:val="24"/>
              </w:rPr>
            </w:pPr>
            <w:r w:rsidRPr="00CB2BA0">
              <w:rPr>
                <w:rFonts w:ascii="Arial" w:hAnsi="Arial" w:cs="Arial"/>
                <w:sz w:val="24"/>
                <w:szCs w:val="24"/>
              </w:rPr>
              <w:t xml:space="preserve">Las Secretarías de Educación de las entidades federativas deberán llevar a cabo las gestiones ante las autoridades competentes, para que los convenios de coordinación se actualicen de conformidad con el crecimiento de planteles, matrícula escolar </w:t>
            </w:r>
            <w:proofErr w:type="gramStart"/>
            <w:r w:rsidRPr="00CB2BA0">
              <w:rPr>
                <w:rFonts w:ascii="Arial" w:hAnsi="Arial" w:cs="Arial"/>
                <w:sz w:val="24"/>
                <w:szCs w:val="24"/>
              </w:rPr>
              <w:t>y  personal</w:t>
            </w:r>
            <w:proofErr w:type="gramEnd"/>
            <w:r w:rsidRPr="00CB2BA0">
              <w:rPr>
                <w:rFonts w:ascii="Arial" w:hAnsi="Arial" w:cs="Arial"/>
                <w:sz w:val="24"/>
                <w:szCs w:val="24"/>
              </w:rPr>
              <w:t xml:space="preserve"> y alinear a los convenios las percepciones estipuladas en los contratos colectivos de los trabajadores.</w:t>
            </w:r>
          </w:p>
        </w:tc>
      </w:tr>
    </w:tbl>
    <w:p w14:paraId="34282B0B" w14:textId="77777777" w:rsidR="00FC0B5B" w:rsidRPr="00CB2BA0" w:rsidRDefault="00FC0B5B" w:rsidP="00FC0B5B">
      <w:pPr>
        <w:jc w:val="both"/>
        <w:rPr>
          <w:rFonts w:ascii="Arial" w:hAnsi="Arial" w:cs="Arial"/>
          <w:sz w:val="24"/>
          <w:szCs w:val="24"/>
        </w:rPr>
      </w:pPr>
    </w:p>
    <w:p w14:paraId="0408036A" w14:textId="77777777" w:rsidR="00FC0B5B" w:rsidRPr="00CB2BA0" w:rsidRDefault="00FC0B5B" w:rsidP="00FC0B5B">
      <w:pPr>
        <w:jc w:val="both"/>
        <w:rPr>
          <w:rFonts w:ascii="Arial" w:hAnsi="Arial" w:cs="Arial"/>
          <w:sz w:val="24"/>
          <w:szCs w:val="24"/>
        </w:rPr>
      </w:pPr>
    </w:p>
    <w:p w14:paraId="4277B8BF" w14:textId="77777777" w:rsidR="00F669A9" w:rsidRPr="00F669A9" w:rsidRDefault="00F669A9" w:rsidP="00FC0B5B">
      <w:pPr>
        <w:jc w:val="both"/>
        <w:rPr>
          <w:rFonts w:ascii="Arial" w:hAnsi="Arial" w:cs="Arial"/>
          <w:sz w:val="24"/>
          <w:szCs w:val="24"/>
        </w:rPr>
      </w:pPr>
    </w:p>
    <w:sectPr w:rsidR="00F669A9" w:rsidRPr="00F669A9" w:rsidSect="00F426A3">
      <w:pgSz w:w="12240" w:h="15840"/>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4EDE"/>
    <w:multiLevelType w:val="hybridMultilevel"/>
    <w:tmpl w:val="9AECBF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8054C5"/>
    <w:multiLevelType w:val="hybridMultilevel"/>
    <w:tmpl w:val="91840D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114BFE"/>
    <w:multiLevelType w:val="hybridMultilevel"/>
    <w:tmpl w:val="CBD8CE8E"/>
    <w:lvl w:ilvl="0" w:tplc="B4B2C688">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F4C7C0B"/>
    <w:multiLevelType w:val="hybridMultilevel"/>
    <w:tmpl w:val="FCE4655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3A95FE9"/>
    <w:multiLevelType w:val="hybridMultilevel"/>
    <w:tmpl w:val="04DE26C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93B1F63"/>
    <w:multiLevelType w:val="hybridMultilevel"/>
    <w:tmpl w:val="D82EE2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5D7015"/>
    <w:multiLevelType w:val="multilevel"/>
    <w:tmpl w:val="AFF855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35E8322F"/>
    <w:multiLevelType w:val="hybridMultilevel"/>
    <w:tmpl w:val="513CF6DE"/>
    <w:lvl w:ilvl="0" w:tplc="16B0C710">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6657B6A"/>
    <w:multiLevelType w:val="hybridMultilevel"/>
    <w:tmpl w:val="C71AD174"/>
    <w:lvl w:ilvl="0" w:tplc="ED6014C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943775E"/>
    <w:multiLevelType w:val="hybridMultilevel"/>
    <w:tmpl w:val="05247B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D9418B9"/>
    <w:multiLevelType w:val="hybridMultilevel"/>
    <w:tmpl w:val="73D8B36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2172F3D"/>
    <w:multiLevelType w:val="multilevel"/>
    <w:tmpl w:val="149E3F8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3F66E19"/>
    <w:multiLevelType w:val="multilevel"/>
    <w:tmpl w:val="4938657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A684494"/>
    <w:multiLevelType w:val="hybridMultilevel"/>
    <w:tmpl w:val="A80C84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F147116"/>
    <w:multiLevelType w:val="hybridMultilevel"/>
    <w:tmpl w:val="EF12171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53A6AC1"/>
    <w:multiLevelType w:val="hybridMultilevel"/>
    <w:tmpl w:val="A51A46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61AC4B1C"/>
    <w:multiLevelType w:val="hybridMultilevel"/>
    <w:tmpl w:val="846A4DEE"/>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2192301"/>
    <w:multiLevelType w:val="hybridMultilevel"/>
    <w:tmpl w:val="EF12171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24F2E82"/>
    <w:multiLevelType w:val="hybridMultilevel"/>
    <w:tmpl w:val="EDA43C2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5011449"/>
    <w:multiLevelType w:val="multilevel"/>
    <w:tmpl w:val="08F024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F667E9B"/>
    <w:multiLevelType w:val="multilevel"/>
    <w:tmpl w:val="0B04ED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FD87EF9"/>
    <w:multiLevelType w:val="hybridMultilevel"/>
    <w:tmpl w:val="E1DA28B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6"/>
  </w:num>
  <w:num w:numId="4">
    <w:abstractNumId w:val="7"/>
  </w:num>
  <w:num w:numId="5">
    <w:abstractNumId w:val="1"/>
  </w:num>
  <w:num w:numId="6">
    <w:abstractNumId w:val="3"/>
  </w:num>
  <w:num w:numId="7">
    <w:abstractNumId w:val="5"/>
  </w:num>
  <w:num w:numId="8">
    <w:abstractNumId w:val="15"/>
  </w:num>
  <w:num w:numId="9">
    <w:abstractNumId w:val="13"/>
  </w:num>
  <w:num w:numId="10">
    <w:abstractNumId w:val="21"/>
  </w:num>
  <w:num w:numId="11">
    <w:abstractNumId w:val="19"/>
  </w:num>
  <w:num w:numId="12">
    <w:abstractNumId w:val="20"/>
  </w:num>
  <w:num w:numId="13">
    <w:abstractNumId w:val="17"/>
  </w:num>
  <w:num w:numId="14">
    <w:abstractNumId w:val="14"/>
  </w:num>
  <w:num w:numId="15">
    <w:abstractNumId w:val="10"/>
  </w:num>
  <w:num w:numId="16">
    <w:abstractNumId w:val="2"/>
  </w:num>
  <w:num w:numId="17">
    <w:abstractNumId w:val="8"/>
  </w:num>
  <w:num w:numId="18">
    <w:abstractNumId w:val="6"/>
  </w:num>
  <w:num w:numId="19">
    <w:abstractNumId w:val="11"/>
  </w:num>
  <w:num w:numId="20">
    <w:abstractNumId w:val="18"/>
  </w:num>
  <w:num w:numId="21">
    <w:abstractNumId w:val="9"/>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A2A"/>
    <w:rsid w:val="000454B4"/>
    <w:rsid w:val="000C5794"/>
    <w:rsid w:val="000F58A4"/>
    <w:rsid w:val="001B24EB"/>
    <w:rsid w:val="0021473B"/>
    <w:rsid w:val="00230322"/>
    <w:rsid w:val="00257E33"/>
    <w:rsid w:val="002B7AB1"/>
    <w:rsid w:val="002C37CB"/>
    <w:rsid w:val="002D4CC3"/>
    <w:rsid w:val="002E5AF1"/>
    <w:rsid w:val="00344A2A"/>
    <w:rsid w:val="003B1F65"/>
    <w:rsid w:val="003F53F7"/>
    <w:rsid w:val="00452C68"/>
    <w:rsid w:val="004746FC"/>
    <w:rsid w:val="005016AA"/>
    <w:rsid w:val="00501CB2"/>
    <w:rsid w:val="00516A9F"/>
    <w:rsid w:val="005506BA"/>
    <w:rsid w:val="00557E62"/>
    <w:rsid w:val="00560C22"/>
    <w:rsid w:val="005B67DE"/>
    <w:rsid w:val="00692666"/>
    <w:rsid w:val="00721509"/>
    <w:rsid w:val="00722BAE"/>
    <w:rsid w:val="00744097"/>
    <w:rsid w:val="00767B1C"/>
    <w:rsid w:val="007734C3"/>
    <w:rsid w:val="00775358"/>
    <w:rsid w:val="00830EC7"/>
    <w:rsid w:val="00834C02"/>
    <w:rsid w:val="0088260C"/>
    <w:rsid w:val="008B7293"/>
    <w:rsid w:val="009232E8"/>
    <w:rsid w:val="009756E8"/>
    <w:rsid w:val="009E2BA6"/>
    <w:rsid w:val="009F1C66"/>
    <w:rsid w:val="00A209B3"/>
    <w:rsid w:val="00A948B3"/>
    <w:rsid w:val="00A97861"/>
    <w:rsid w:val="00AB227A"/>
    <w:rsid w:val="00AD5AD0"/>
    <w:rsid w:val="00AF0443"/>
    <w:rsid w:val="00B41497"/>
    <w:rsid w:val="00B5799D"/>
    <w:rsid w:val="00B614C0"/>
    <w:rsid w:val="00B800B3"/>
    <w:rsid w:val="00BA7CBC"/>
    <w:rsid w:val="00BE552E"/>
    <w:rsid w:val="00C62E97"/>
    <w:rsid w:val="00C840A9"/>
    <w:rsid w:val="00CD48AF"/>
    <w:rsid w:val="00CD7A7B"/>
    <w:rsid w:val="00CE0287"/>
    <w:rsid w:val="00D05E49"/>
    <w:rsid w:val="00D64576"/>
    <w:rsid w:val="00D70C0C"/>
    <w:rsid w:val="00E17E5A"/>
    <w:rsid w:val="00E80430"/>
    <w:rsid w:val="00EB2E70"/>
    <w:rsid w:val="00F14B01"/>
    <w:rsid w:val="00F426A3"/>
    <w:rsid w:val="00F55BEB"/>
    <w:rsid w:val="00F669A9"/>
    <w:rsid w:val="00FC0B5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71674"/>
  <w15:chartTrackingRefBased/>
  <w15:docId w15:val="{E03B3DDF-AE25-4494-BF44-CD869F78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B227A"/>
    <w:pPr>
      <w:ind w:left="720"/>
      <w:contextualSpacing/>
    </w:pPr>
  </w:style>
  <w:style w:type="paragraph" w:styleId="Sinespaciado">
    <w:name w:val="No Spacing"/>
    <w:link w:val="SinespaciadoCar"/>
    <w:uiPriority w:val="1"/>
    <w:qFormat/>
    <w:rsid w:val="00F426A3"/>
    <w:pPr>
      <w:spacing w:after="0" w:line="240" w:lineRule="auto"/>
    </w:pPr>
    <w:rPr>
      <w:rFonts w:eastAsiaTheme="minorEastAsia"/>
      <w:lang w:eastAsia="es-MX"/>
    </w:rPr>
  </w:style>
  <w:style w:type="character" w:customStyle="1" w:styleId="SinespaciadoCar">
    <w:name w:val="Sin espaciado Car"/>
    <w:basedOn w:val="Fuentedeprrafopredeter"/>
    <w:link w:val="Sinespaciado"/>
    <w:uiPriority w:val="1"/>
    <w:rsid w:val="00F426A3"/>
    <w:rPr>
      <w:rFonts w:eastAsiaTheme="minorEastAsia"/>
      <w:lang w:eastAsia="es-MX"/>
    </w:rPr>
  </w:style>
  <w:style w:type="character" w:styleId="Hipervnculo">
    <w:name w:val="Hyperlink"/>
    <w:basedOn w:val="Fuentedeprrafopredeter"/>
    <w:uiPriority w:val="99"/>
    <w:unhideWhenUsed/>
    <w:rsid w:val="009232E8"/>
    <w:rPr>
      <w:color w:val="0563C1" w:themeColor="hyperlink"/>
      <w:u w:val="single"/>
    </w:rPr>
  </w:style>
  <w:style w:type="table" w:styleId="Tablaconcuadrcula">
    <w:name w:val="Table Grid"/>
    <w:basedOn w:val="Tablanormal"/>
    <w:uiPriority w:val="39"/>
    <w:rsid w:val="00F66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081881">
      <w:bodyDiv w:val="1"/>
      <w:marLeft w:val="0"/>
      <w:marRight w:val="0"/>
      <w:marTop w:val="0"/>
      <w:marBottom w:val="0"/>
      <w:divBdr>
        <w:top w:val="none" w:sz="0" w:space="0" w:color="auto"/>
        <w:left w:val="none" w:sz="0" w:space="0" w:color="auto"/>
        <w:bottom w:val="none" w:sz="0" w:space="0" w:color="auto"/>
        <w:right w:val="none" w:sz="0" w:space="0" w:color="auto"/>
      </w:divBdr>
    </w:div>
    <w:div w:id="1338313618">
      <w:bodyDiv w:val="1"/>
      <w:marLeft w:val="0"/>
      <w:marRight w:val="0"/>
      <w:marTop w:val="0"/>
      <w:marBottom w:val="0"/>
      <w:divBdr>
        <w:top w:val="none" w:sz="0" w:space="0" w:color="auto"/>
        <w:left w:val="none" w:sz="0" w:space="0" w:color="auto"/>
        <w:bottom w:val="none" w:sz="0" w:space="0" w:color="auto"/>
        <w:right w:val="none" w:sz="0" w:space="0" w:color="auto"/>
      </w:divBdr>
    </w:div>
    <w:div w:id="1400902189">
      <w:bodyDiv w:val="1"/>
      <w:marLeft w:val="0"/>
      <w:marRight w:val="0"/>
      <w:marTop w:val="0"/>
      <w:marBottom w:val="0"/>
      <w:divBdr>
        <w:top w:val="none" w:sz="0" w:space="0" w:color="auto"/>
        <w:left w:val="none" w:sz="0" w:space="0" w:color="auto"/>
        <w:bottom w:val="none" w:sz="0" w:space="0" w:color="auto"/>
        <w:right w:val="none" w:sz="0" w:space="0" w:color="auto"/>
      </w:divBdr>
    </w:div>
    <w:div w:id="209041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diagramColors" Target="diagrams/colors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diagramQuickStyle" Target="diagrams/quickStyle1.xm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053C22-8F05-46E4-AC7D-C34494C98CF8}" type="doc">
      <dgm:prSet loTypeId="urn:microsoft.com/office/officeart/2005/8/layout/cycle5" loCatId="cycle" qsTypeId="urn:microsoft.com/office/officeart/2005/8/quickstyle/simple1" qsCatId="simple" csTypeId="urn:microsoft.com/office/officeart/2005/8/colors/colorful5" csCatId="colorful" phldr="1"/>
      <dgm:spPr/>
      <dgm:t>
        <a:bodyPr/>
        <a:lstStyle/>
        <a:p>
          <a:endParaRPr lang="es-MX"/>
        </a:p>
      </dgm:t>
    </dgm:pt>
    <dgm:pt modelId="{8835FB7E-37BC-4ED6-A1F3-1AA48E2CC473}">
      <dgm:prSet phldrT="[Texto]"/>
      <dgm:spPr/>
      <dgm:t>
        <a:bodyPr/>
        <a:lstStyle/>
        <a:p>
          <a:r>
            <a:rPr lang="es-MX"/>
            <a:t>1. Transferencia de recursos.</a:t>
          </a:r>
        </a:p>
      </dgm:t>
    </dgm:pt>
    <dgm:pt modelId="{0B1A529C-3D50-4413-9070-6DA8DAC269D3}" type="parTrans" cxnId="{B52B81F7-89F2-4F6F-A200-41D117E268B3}">
      <dgm:prSet/>
      <dgm:spPr/>
      <dgm:t>
        <a:bodyPr/>
        <a:lstStyle/>
        <a:p>
          <a:endParaRPr lang="es-MX"/>
        </a:p>
      </dgm:t>
    </dgm:pt>
    <dgm:pt modelId="{8ED51E84-4400-4516-8A9D-23CEFADE5479}" type="sibTrans" cxnId="{B52B81F7-89F2-4F6F-A200-41D117E268B3}">
      <dgm:prSet/>
      <dgm:spPr/>
      <dgm:t>
        <a:bodyPr/>
        <a:lstStyle/>
        <a:p>
          <a:endParaRPr lang="es-MX"/>
        </a:p>
      </dgm:t>
    </dgm:pt>
    <dgm:pt modelId="{6AE1502B-BF5C-4934-8C06-54F67FB4D0A3}">
      <dgm:prSet phldrT="[Texto]"/>
      <dgm:spPr/>
      <dgm:t>
        <a:bodyPr/>
        <a:lstStyle/>
        <a:p>
          <a:r>
            <a:rPr lang="es-MX"/>
            <a:t>2. Registro e información financiera de las operaciones.</a:t>
          </a:r>
        </a:p>
      </dgm:t>
    </dgm:pt>
    <dgm:pt modelId="{567B3D5F-CFBF-4441-B010-E7FDA88F2467}" type="parTrans" cxnId="{4268CE22-8906-4E74-B861-E794E989FBD4}">
      <dgm:prSet/>
      <dgm:spPr/>
      <dgm:t>
        <a:bodyPr/>
        <a:lstStyle/>
        <a:p>
          <a:endParaRPr lang="es-MX"/>
        </a:p>
      </dgm:t>
    </dgm:pt>
    <dgm:pt modelId="{C3DEC8EB-8329-47B9-A700-335626DD7412}" type="sibTrans" cxnId="{4268CE22-8906-4E74-B861-E794E989FBD4}">
      <dgm:prSet/>
      <dgm:spPr/>
      <dgm:t>
        <a:bodyPr/>
        <a:lstStyle/>
        <a:p>
          <a:endParaRPr lang="es-MX"/>
        </a:p>
      </dgm:t>
    </dgm:pt>
    <dgm:pt modelId="{895A2807-9661-4B45-9902-EB73582395F1}">
      <dgm:prSet phldrT="[Texto]"/>
      <dgm:spPr/>
      <dgm:t>
        <a:bodyPr/>
        <a:lstStyle/>
        <a:p>
          <a:r>
            <a:rPr lang="es-MX"/>
            <a:t>3. Destino de los recursos.</a:t>
          </a:r>
        </a:p>
      </dgm:t>
    </dgm:pt>
    <dgm:pt modelId="{5DB8AD63-CC80-4349-AB1E-58B390D9F4A0}" type="parTrans" cxnId="{D5A589DB-D301-4D75-8EE7-109700415D28}">
      <dgm:prSet/>
      <dgm:spPr/>
      <dgm:t>
        <a:bodyPr/>
        <a:lstStyle/>
        <a:p>
          <a:endParaRPr lang="es-MX"/>
        </a:p>
      </dgm:t>
    </dgm:pt>
    <dgm:pt modelId="{D11DB29C-F478-4DE3-9EE2-06D009B55A1D}" type="sibTrans" cxnId="{D5A589DB-D301-4D75-8EE7-109700415D28}">
      <dgm:prSet/>
      <dgm:spPr/>
      <dgm:t>
        <a:bodyPr/>
        <a:lstStyle/>
        <a:p>
          <a:endParaRPr lang="es-MX"/>
        </a:p>
      </dgm:t>
    </dgm:pt>
    <dgm:pt modelId="{7B059C73-D8FD-4DC6-8A90-6A02E057A936}">
      <dgm:prSet phldrT="[Texto]"/>
      <dgm:spPr/>
      <dgm:t>
        <a:bodyPr/>
        <a:lstStyle/>
        <a:p>
          <a:r>
            <a:rPr lang="es-MX"/>
            <a:t>4. Servicios personales.</a:t>
          </a:r>
        </a:p>
      </dgm:t>
    </dgm:pt>
    <dgm:pt modelId="{A0EBF17F-2E6B-4E80-9C80-9672EFD6E397}" type="parTrans" cxnId="{8A12F96B-0462-4E2C-BF35-5AFD696E5498}">
      <dgm:prSet/>
      <dgm:spPr/>
      <dgm:t>
        <a:bodyPr/>
        <a:lstStyle/>
        <a:p>
          <a:endParaRPr lang="es-MX"/>
        </a:p>
      </dgm:t>
    </dgm:pt>
    <dgm:pt modelId="{3B5639DB-110D-4B5B-86E4-74A9F42A03FE}" type="sibTrans" cxnId="{8A12F96B-0462-4E2C-BF35-5AFD696E5498}">
      <dgm:prSet/>
      <dgm:spPr/>
      <dgm:t>
        <a:bodyPr/>
        <a:lstStyle/>
        <a:p>
          <a:endParaRPr lang="es-MX"/>
        </a:p>
      </dgm:t>
    </dgm:pt>
    <dgm:pt modelId="{BCB20233-3345-42C4-87E4-507DBED3D621}">
      <dgm:prSet phldrT="[Texto]"/>
      <dgm:spPr/>
      <dgm:t>
        <a:bodyPr/>
        <a:lstStyle/>
        <a:p>
          <a:r>
            <a:rPr lang="es-MX"/>
            <a:t>5. Adquisiciones.</a:t>
          </a:r>
        </a:p>
      </dgm:t>
    </dgm:pt>
    <dgm:pt modelId="{474EDB71-26E5-4200-A722-79478BB92BE4}" type="parTrans" cxnId="{45CDE4DB-53EA-4452-B8D7-07E60997C35A}">
      <dgm:prSet/>
      <dgm:spPr/>
      <dgm:t>
        <a:bodyPr/>
        <a:lstStyle/>
        <a:p>
          <a:endParaRPr lang="es-MX"/>
        </a:p>
      </dgm:t>
    </dgm:pt>
    <dgm:pt modelId="{07DEDFCC-7B61-4584-9CF1-B1E4880D3845}" type="sibTrans" cxnId="{45CDE4DB-53EA-4452-B8D7-07E60997C35A}">
      <dgm:prSet/>
      <dgm:spPr/>
      <dgm:t>
        <a:bodyPr/>
        <a:lstStyle/>
        <a:p>
          <a:endParaRPr lang="es-MX"/>
        </a:p>
      </dgm:t>
    </dgm:pt>
    <dgm:pt modelId="{77D08A4F-1847-4EA6-9561-7F505F154C54}">
      <dgm:prSet phldrT="[Texto]"/>
      <dgm:spPr/>
      <dgm:t>
        <a:bodyPr/>
        <a:lstStyle/>
        <a:p>
          <a:r>
            <a:rPr lang="es-MX"/>
            <a:t>6. Obra pública.</a:t>
          </a:r>
        </a:p>
      </dgm:t>
    </dgm:pt>
    <dgm:pt modelId="{0A0B0CB9-A1D4-4E7F-8912-47500B99182B}" type="parTrans" cxnId="{45BFCE04-2D08-4619-B697-ED96B3C69A5E}">
      <dgm:prSet/>
      <dgm:spPr/>
      <dgm:t>
        <a:bodyPr/>
        <a:lstStyle/>
        <a:p>
          <a:endParaRPr lang="es-MX"/>
        </a:p>
      </dgm:t>
    </dgm:pt>
    <dgm:pt modelId="{B37D6EB1-890C-4C5F-AC11-20AC5060AD89}" type="sibTrans" cxnId="{45BFCE04-2D08-4619-B697-ED96B3C69A5E}">
      <dgm:prSet/>
      <dgm:spPr/>
      <dgm:t>
        <a:bodyPr/>
        <a:lstStyle/>
        <a:p>
          <a:endParaRPr lang="es-MX"/>
        </a:p>
      </dgm:t>
    </dgm:pt>
    <dgm:pt modelId="{80AD3AD1-6E20-43E5-B3C7-1DE4436248F8}">
      <dgm:prSet phldrT="[Texto]"/>
      <dgm:spPr/>
      <dgm:t>
        <a:bodyPr/>
        <a:lstStyle/>
        <a:p>
          <a:r>
            <a:rPr lang="es-MX"/>
            <a:t>7. Transferencia y difusión de la información</a:t>
          </a:r>
        </a:p>
      </dgm:t>
    </dgm:pt>
    <dgm:pt modelId="{620F3D5A-32D0-4E0C-B599-1978EFA3FABE}" type="parTrans" cxnId="{00111106-B802-4C34-9FFE-9C8F493E024C}">
      <dgm:prSet/>
      <dgm:spPr/>
      <dgm:t>
        <a:bodyPr/>
        <a:lstStyle/>
        <a:p>
          <a:endParaRPr lang="es-MX"/>
        </a:p>
      </dgm:t>
    </dgm:pt>
    <dgm:pt modelId="{B5081C09-FCF6-46A2-9812-E0CC03F3D0CE}" type="sibTrans" cxnId="{00111106-B802-4C34-9FFE-9C8F493E024C}">
      <dgm:prSet/>
      <dgm:spPr/>
      <dgm:t>
        <a:bodyPr/>
        <a:lstStyle/>
        <a:p>
          <a:endParaRPr lang="es-MX"/>
        </a:p>
      </dgm:t>
    </dgm:pt>
    <dgm:pt modelId="{8F60A1D0-201F-4924-B465-84F8B6AE74F3}">
      <dgm:prSet phldrT="[Texto]"/>
      <dgm:spPr/>
      <dgm:t>
        <a:bodyPr/>
        <a:lstStyle/>
        <a:p>
          <a:r>
            <a:rPr lang="es-MX"/>
            <a:t>8. Cumplimiento de metas y objetivos.</a:t>
          </a:r>
        </a:p>
      </dgm:t>
    </dgm:pt>
    <dgm:pt modelId="{12FB725D-7025-4F34-BA70-456F0D75F101}" type="parTrans" cxnId="{D1117256-41D8-479E-9957-17B349842ED4}">
      <dgm:prSet/>
      <dgm:spPr/>
      <dgm:t>
        <a:bodyPr/>
        <a:lstStyle/>
        <a:p>
          <a:endParaRPr lang="es-MX"/>
        </a:p>
      </dgm:t>
    </dgm:pt>
    <dgm:pt modelId="{3C421E60-5972-4962-9383-E79D9B7A75F8}" type="sibTrans" cxnId="{D1117256-41D8-479E-9957-17B349842ED4}">
      <dgm:prSet/>
      <dgm:spPr/>
      <dgm:t>
        <a:bodyPr/>
        <a:lstStyle/>
        <a:p>
          <a:endParaRPr lang="es-MX"/>
        </a:p>
      </dgm:t>
    </dgm:pt>
    <dgm:pt modelId="{127E6A2A-189F-4359-8DD4-9E5AB90B55A9}">
      <dgm:prSet phldrT="[Texto]"/>
      <dgm:spPr/>
      <dgm:t>
        <a:bodyPr/>
        <a:lstStyle/>
        <a:p>
          <a:r>
            <a:rPr lang="es-MX"/>
            <a:t>Cumplimiento de la Ley Gral. de Contabilidad Gubernamental.</a:t>
          </a:r>
        </a:p>
      </dgm:t>
    </dgm:pt>
    <dgm:pt modelId="{A799373B-D36E-44CE-956D-C29EAE2E6789}" type="parTrans" cxnId="{8A56EADE-6FDE-4AB9-B051-6C6BFE3C0191}">
      <dgm:prSet/>
      <dgm:spPr/>
      <dgm:t>
        <a:bodyPr/>
        <a:lstStyle/>
        <a:p>
          <a:endParaRPr lang="es-MX"/>
        </a:p>
      </dgm:t>
    </dgm:pt>
    <dgm:pt modelId="{535CE48C-8624-4FBE-8CF4-6F935C8CB704}" type="sibTrans" cxnId="{8A56EADE-6FDE-4AB9-B051-6C6BFE3C0191}">
      <dgm:prSet/>
      <dgm:spPr/>
      <dgm:t>
        <a:bodyPr/>
        <a:lstStyle/>
        <a:p>
          <a:endParaRPr lang="es-MX"/>
        </a:p>
      </dgm:t>
    </dgm:pt>
    <dgm:pt modelId="{5C67227A-FD05-46D5-A41E-6CF907373EF4}" type="pres">
      <dgm:prSet presAssocID="{A4053C22-8F05-46E4-AC7D-C34494C98CF8}" presName="cycle" presStyleCnt="0">
        <dgm:presLayoutVars>
          <dgm:dir/>
          <dgm:resizeHandles val="exact"/>
        </dgm:presLayoutVars>
      </dgm:prSet>
      <dgm:spPr/>
    </dgm:pt>
    <dgm:pt modelId="{9992DA5B-46C1-4C75-9296-6B9CE99C598C}" type="pres">
      <dgm:prSet presAssocID="{8835FB7E-37BC-4ED6-A1F3-1AA48E2CC473}" presName="node" presStyleLbl="node1" presStyleIdx="0" presStyleCnt="9">
        <dgm:presLayoutVars>
          <dgm:bulletEnabled val="1"/>
        </dgm:presLayoutVars>
      </dgm:prSet>
      <dgm:spPr/>
    </dgm:pt>
    <dgm:pt modelId="{8D4131AE-BA23-412D-A105-12B531E05B52}" type="pres">
      <dgm:prSet presAssocID="{8835FB7E-37BC-4ED6-A1F3-1AA48E2CC473}" presName="spNode" presStyleCnt="0"/>
      <dgm:spPr/>
    </dgm:pt>
    <dgm:pt modelId="{E1D096F0-A59A-4912-8AA0-61631F5AE6BC}" type="pres">
      <dgm:prSet presAssocID="{8ED51E84-4400-4516-8A9D-23CEFADE5479}" presName="sibTrans" presStyleLbl="sibTrans1D1" presStyleIdx="0" presStyleCnt="9"/>
      <dgm:spPr/>
    </dgm:pt>
    <dgm:pt modelId="{37AB1FBC-7814-460E-A817-12BCD05034FF}" type="pres">
      <dgm:prSet presAssocID="{6AE1502B-BF5C-4934-8C06-54F67FB4D0A3}" presName="node" presStyleLbl="node1" presStyleIdx="1" presStyleCnt="9">
        <dgm:presLayoutVars>
          <dgm:bulletEnabled val="1"/>
        </dgm:presLayoutVars>
      </dgm:prSet>
      <dgm:spPr/>
    </dgm:pt>
    <dgm:pt modelId="{BFF72FFC-FFEC-4654-AFF5-6EA1926B2FDB}" type="pres">
      <dgm:prSet presAssocID="{6AE1502B-BF5C-4934-8C06-54F67FB4D0A3}" presName="spNode" presStyleCnt="0"/>
      <dgm:spPr/>
    </dgm:pt>
    <dgm:pt modelId="{207620B4-6DE2-48D3-903D-0C899F0D93AE}" type="pres">
      <dgm:prSet presAssocID="{C3DEC8EB-8329-47B9-A700-335626DD7412}" presName="sibTrans" presStyleLbl="sibTrans1D1" presStyleIdx="1" presStyleCnt="9"/>
      <dgm:spPr/>
    </dgm:pt>
    <dgm:pt modelId="{7D92851E-B651-4D3D-809C-1FBE6D0BCEDB}" type="pres">
      <dgm:prSet presAssocID="{895A2807-9661-4B45-9902-EB73582395F1}" presName="node" presStyleLbl="node1" presStyleIdx="2" presStyleCnt="9">
        <dgm:presLayoutVars>
          <dgm:bulletEnabled val="1"/>
        </dgm:presLayoutVars>
      </dgm:prSet>
      <dgm:spPr/>
    </dgm:pt>
    <dgm:pt modelId="{CB149658-745E-4004-8C46-AA67CDA6D960}" type="pres">
      <dgm:prSet presAssocID="{895A2807-9661-4B45-9902-EB73582395F1}" presName="spNode" presStyleCnt="0"/>
      <dgm:spPr/>
    </dgm:pt>
    <dgm:pt modelId="{D43FDE95-F3BC-4E4C-924A-093B2BF69744}" type="pres">
      <dgm:prSet presAssocID="{D11DB29C-F478-4DE3-9EE2-06D009B55A1D}" presName="sibTrans" presStyleLbl="sibTrans1D1" presStyleIdx="2" presStyleCnt="9"/>
      <dgm:spPr/>
    </dgm:pt>
    <dgm:pt modelId="{CFE72A4E-C370-4C99-B404-D271A18399F0}" type="pres">
      <dgm:prSet presAssocID="{7B059C73-D8FD-4DC6-8A90-6A02E057A936}" presName="node" presStyleLbl="node1" presStyleIdx="3" presStyleCnt="9">
        <dgm:presLayoutVars>
          <dgm:bulletEnabled val="1"/>
        </dgm:presLayoutVars>
      </dgm:prSet>
      <dgm:spPr/>
    </dgm:pt>
    <dgm:pt modelId="{9B9843A3-87E1-4985-9E6D-59DD954C1DE6}" type="pres">
      <dgm:prSet presAssocID="{7B059C73-D8FD-4DC6-8A90-6A02E057A936}" presName="spNode" presStyleCnt="0"/>
      <dgm:spPr/>
    </dgm:pt>
    <dgm:pt modelId="{76362A5C-332F-4245-82B2-2A7B68122F62}" type="pres">
      <dgm:prSet presAssocID="{3B5639DB-110D-4B5B-86E4-74A9F42A03FE}" presName="sibTrans" presStyleLbl="sibTrans1D1" presStyleIdx="3" presStyleCnt="9"/>
      <dgm:spPr/>
    </dgm:pt>
    <dgm:pt modelId="{A1EAD944-85CD-4F2E-8E29-030B371D9DD1}" type="pres">
      <dgm:prSet presAssocID="{BCB20233-3345-42C4-87E4-507DBED3D621}" presName="node" presStyleLbl="node1" presStyleIdx="4" presStyleCnt="9">
        <dgm:presLayoutVars>
          <dgm:bulletEnabled val="1"/>
        </dgm:presLayoutVars>
      </dgm:prSet>
      <dgm:spPr/>
    </dgm:pt>
    <dgm:pt modelId="{D640E898-0EAC-4B23-8263-9053186992D5}" type="pres">
      <dgm:prSet presAssocID="{BCB20233-3345-42C4-87E4-507DBED3D621}" presName="spNode" presStyleCnt="0"/>
      <dgm:spPr/>
    </dgm:pt>
    <dgm:pt modelId="{A067EDC1-8BE2-41DD-AC2A-69C71C4A3ABA}" type="pres">
      <dgm:prSet presAssocID="{07DEDFCC-7B61-4584-9CF1-B1E4880D3845}" presName="sibTrans" presStyleLbl="sibTrans1D1" presStyleIdx="4" presStyleCnt="9"/>
      <dgm:spPr/>
    </dgm:pt>
    <dgm:pt modelId="{E565434F-555C-488E-95F9-B33D3442937E}" type="pres">
      <dgm:prSet presAssocID="{77D08A4F-1847-4EA6-9561-7F505F154C54}" presName="node" presStyleLbl="node1" presStyleIdx="5" presStyleCnt="9">
        <dgm:presLayoutVars>
          <dgm:bulletEnabled val="1"/>
        </dgm:presLayoutVars>
      </dgm:prSet>
      <dgm:spPr/>
    </dgm:pt>
    <dgm:pt modelId="{43EA981E-3A20-4138-814E-A77E171F045E}" type="pres">
      <dgm:prSet presAssocID="{77D08A4F-1847-4EA6-9561-7F505F154C54}" presName="spNode" presStyleCnt="0"/>
      <dgm:spPr/>
    </dgm:pt>
    <dgm:pt modelId="{5462B9D6-E31F-4688-B545-F701150EC6BE}" type="pres">
      <dgm:prSet presAssocID="{B37D6EB1-890C-4C5F-AC11-20AC5060AD89}" presName="sibTrans" presStyleLbl="sibTrans1D1" presStyleIdx="5" presStyleCnt="9"/>
      <dgm:spPr/>
    </dgm:pt>
    <dgm:pt modelId="{58FD75D1-8B03-4F3F-8B2A-82F38817136A}" type="pres">
      <dgm:prSet presAssocID="{80AD3AD1-6E20-43E5-B3C7-1DE4436248F8}" presName="node" presStyleLbl="node1" presStyleIdx="6" presStyleCnt="9">
        <dgm:presLayoutVars>
          <dgm:bulletEnabled val="1"/>
        </dgm:presLayoutVars>
      </dgm:prSet>
      <dgm:spPr/>
    </dgm:pt>
    <dgm:pt modelId="{F2656320-F578-4AB2-BBDB-7AD0B398EBA7}" type="pres">
      <dgm:prSet presAssocID="{80AD3AD1-6E20-43E5-B3C7-1DE4436248F8}" presName="spNode" presStyleCnt="0"/>
      <dgm:spPr/>
    </dgm:pt>
    <dgm:pt modelId="{893588B0-A8EA-404A-9AB9-82F61EA2C849}" type="pres">
      <dgm:prSet presAssocID="{B5081C09-FCF6-46A2-9812-E0CC03F3D0CE}" presName="sibTrans" presStyleLbl="sibTrans1D1" presStyleIdx="6" presStyleCnt="9"/>
      <dgm:spPr/>
    </dgm:pt>
    <dgm:pt modelId="{10E8DAA8-8322-4DB4-B532-1251ED013AEE}" type="pres">
      <dgm:prSet presAssocID="{8F60A1D0-201F-4924-B465-84F8B6AE74F3}" presName="node" presStyleLbl="node1" presStyleIdx="7" presStyleCnt="9">
        <dgm:presLayoutVars>
          <dgm:bulletEnabled val="1"/>
        </dgm:presLayoutVars>
      </dgm:prSet>
      <dgm:spPr/>
    </dgm:pt>
    <dgm:pt modelId="{0C67FE1D-6293-4EDD-B2BF-EC440FC8DB35}" type="pres">
      <dgm:prSet presAssocID="{8F60A1D0-201F-4924-B465-84F8B6AE74F3}" presName="spNode" presStyleCnt="0"/>
      <dgm:spPr/>
    </dgm:pt>
    <dgm:pt modelId="{187B97A6-5A5C-4A40-8A00-F1570E1C8417}" type="pres">
      <dgm:prSet presAssocID="{3C421E60-5972-4962-9383-E79D9B7A75F8}" presName="sibTrans" presStyleLbl="sibTrans1D1" presStyleIdx="7" presStyleCnt="9"/>
      <dgm:spPr/>
    </dgm:pt>
    <dgm:pt modelId="{1C19CD15-5ED7-4B5B-A51D-F7F4795AF923}" type="pres">
      <dgm:prSet presAssocID="{127E6A2A-189F-4359-8DD4-9E5AB90B55A9}" presName="node" presStyleLbl="node1" presStyleIdx="8" presStyleCnt="9">
        <dgm:presLayoutVars>
          <dgm:bulletEnabled val="1"/>
        </dgm:presLayoutVars>
      </dgm:prSet>
      <dgm:spPr/>
    </dgm:pt>
    <dgm:pt modelId="{A5317E3F-7352-4097-9E12-28A0DB23C4EA}" type="pres">
      <dgm:prSet presAssocID="{127E6A2A-189F-4359-8DD4-9E5AB90B55A9}" presName="spNode" presStyleCnt="0"/>
      <dgm:spPr/>
    </dgm:pt>
    <dgm:pt modelId="{92498B50-D7F2-4845-8398-15DEC2051EFC}" type="pres">
      <dgm:prSet presAssocID="{535CE48C-8624-4FBE-8CF4-6F935C8CB704}" presName="sibTrans" presStyleLbl="sibTrans1D1" presStyleIdx="8" presStyleCnt="9"/>
      <dgm:spPr/>
    </dgm:pt>
  </dgm:ptLst>
  <dgm:cxnLst>
    <dgm:cxn modelId="{F1F82600-BCE0-40B7-9E1F-0D25785EA938}" type="presOf" srcId="{C3DEC8EB-8329-47B9-A700-335626DD7412}" destId="{207620B4-6DE2-48D3-903D-0C899F0D93AE}" srcOrd="0" destOrd="0" presId="urn:microsoft.com/office/officeart/2005/8/layout/cycle5"/>
    <dgm:cxn modelId="{45BFCE04-2D08-4619-B697-ED96B3C69A5E}" srcId="{A4053C22-8F05-46E4-AC7D-C34494C98CF8}" destId="{77D08A4F-1847-4EA6-9561-7F505F154C54}" srcOrd="5" destOrd="0" parTransId="{0A0B0CB9-A1D4-4E7F-8912-47500B99182B}" sibTransId="{B37D6EB1-890C-4C5F-AC11-20AC5060AD89}"/>
    <dgm:cxn modelId="{00111106-B802-4C34-9FFE-9C8F493E024C}" srcId="{A4053C22-8F05-46E4-AC7D-C34494C98CF8}" destId="{80AD3AD1-6E20-43E5-B3C7-1DE4436248F8}" srcOrd="6" destOrd="0" parTransId="{620F3D5A-32D0-4E0C-B599-1978EFA3FABE}" sibTransId="{B5081C09-FCF6-46A2-9812-E0CC03F3D0CE}"/>
    <dgm:cxn modelId="{A07D600B-8B65-41C1-8BD2-C5C95D5D347A}" type="presOf" srcId="{BCB20233-3345-42C4-87E4-507DBED3D621}" destId="{A1EAD944-85CD-4F2E-8E29-030B371D9DD1}" srcOrd="0" destOrd="0" presId="urn:microsoft.com/office/officeart/2005/8/layout/cycle5"/>
    <dgm:cxn modelId="{E45E580C-0A17-4928-BDC4-063A6ACDF08A}" type="presOf" srcId="{07DEDFCC-7B61-4584-9CF1-B1E4880D3845}" destId="{A067EDC1-8BE2-41DD-AC2A-69C71C4A3ABA}" srcOrd="0" destOrd="0" presId="urn:microsoft.com/office/officeart/2005/8/layout/cycle5"/>
    <dgm:cxn modelId="{0A24580F-6D52-4E46-988E-9EBE9A72FF2B}" type="presOf" srcId="{535CE48C-8624-4FBE-8CF4-6F935C8CB704}" destId="{92498B50-D7F2-4845-8398-15DEC2051EFC}" srcOrd="0" destOrd="0" presId="urn:microsoft.com/office/officeart/2005/8/layout/cycle5"/>
    <dgm:cxn modelId="{4268CE22-8906-4E74-B861-E794E989FBD4}" srcId="{A4053C22-8F05-46E4-AC7D-C34494C98CF8}" destId="{6AE1502B-BF5C-4934-8C06-54F67FB4D0A3}" srcOrd="1" destOrd="0" parTransId="{567B3D5F-CFBF-4441-B010-E7FDA88F2467}" sibTransId="{C3DEC8EB-8329-47B9-A700-335626DD7412}"/>
    <dgm:cxn modelId="{0A7E0E34-CCA7-4830-958A-7863732F6C92}" type="presOf" srcId="{7B059C73-D8FD-4DC6-8A90-6A02E057A936}" destId="{CFE72A4E-C370-4C99-B404-D271A18399F0}" srcOrd="0" destOrd="0" presId="urn:microsoft.com/office/officeart/2005/8/layout/cycle5"/>
    <dgm:cxn modelId="{B34D8669-B0B3-4EC1-A29E-9BDD00E6F0F5}" type="presOf" srcId="{8ED51E84-4400-4516-8A9D-23CEFADE5479}" destId="{E1D096F0-A59A-4912-8AA0-61631F5AE6BC}" srcOrd="0" destOrd="0" presId="urn:microsoft.com/office/officeart/2005/8/layout/cycle5"/>
    <dgm:cxn modelId="{0A7F536B-C6CF-4145-AC49-543E9C584500}" type="presOf" srcId="{A4053C22-8F05-46E4-AC7D-C34494C98CF8}" destId="{5C67227A-FD05-46D5-A41E-6CF907373EF4}" srcOrd="0" destOrd="0" presId="urn:microsoft.com/office/officeart/2005/8/layout/cycle5"/>
    <dgm:cxn modelId="{8A12F96B-0462-4E2C-BF35-5AFD696E5498}" srcId="{A4053C22-8F05-46E4-AC7D-C34494C98CF8}" destId="{7B059C73-D8FD-4DC6-8A90-6A02E057A936}" srcOrd="3" destOrd="0" parTransId="{A0EBF17F-2E6B-4E80-9C80-9672EFD6E397}" sibTransId="{3B5639DB-110D-4B5B-86E4-74A9F42A03FE}"/>
    <dgm:cxn modelId="{D1117256-41D8-479E-9957-17B349842ED4}" srcId="{A4053C22-8F05-46E4-AC7D-C34494C98CF8}" destId="{8F60A1D0-201F-4924-B465-84F8B6AE74F3}" srcOrd="7" destOrd="0" parTransId="{12FB725D-7025-4F34-BA70-456F0D75F101}" sibTransId="{3C421E60-5972-4962-9383-E79D9B7A75F8}"/>
    <dgm:cxn modelId="{F9C75459-8046-4E8A-9FFB-46689FEBD4BC}" type="presOf" srcId="{D11DB29C-F478-4DE3-9EE2-06D009B55A1D}" destId="{D43FDE95-F3BC-4E4C-924A-093B2BF69744}" srcOrd="0" destOrd="0" presId="urn:microsoft.com/office/officeart/2005/8/layout/cycle5"/>
    <dgm:cxn modelId="{F337627D-5368-48CD-B24B-2166083CAE9D}" type="presOf" srcId="{80AD3AD1-6E20-43E5-B3C7-1DE4436248F8}" destId="{58FD75D1-8B03-4F3F-8B2A-82F38817136A}" srcOrd="0" destOrd="0" presId="urn:microsoft.com/office/officeart/2005/8/layout/cycle5"/>
    <dgm:cxn modelId="{8081427E-37EB-47B4-9026-9CC889741F44}" type="presOf" srcId="{895A2807-9661-4B45-9902-EB73582395F1}" destId="{7D92851E-B651-4D3D-809C-1FBE6D0BCEDB}" srcOrd="0" destOrd="0" presId="urn:microsoft.com/office/officeart/2005/8/layout/cycle5"/>
    <dgm:cxn modelId="{5D63178A-C606-4419-93E4-07B87B784D98}" type="presOf" srcId="{8835FB7E-37BC-4ED6-A1F3-1AA48E2CC473}" destId="{9992DA5B-46C1-4C75-9296-6B9CE99C598C}" srcOrd="0" destOrd="0" presId="urn:microsoft.com/office/officeart/2005/8/layout/cycle5"/>
    <dgm:cxn modelId="{7BA7268E-2790-49C1-B81F-407B01E95002}" type="presOf" srcId="{127E6A2A-189F-4359-8DD4-9E5AB90B55A9}" destId="{1C19CD15-5ED7-4B5B-A51D-F7F4795AF923}" srcOrd="0" destOrd="0" presId="urn:microsoft.com/office/officeart/2005/8/layout/cycle5"/>
    <dgm:cxn modelId="{EBB73499-CF19-416F-B5D4-363497C41EA8}" type="presOf" srcId="{B37D6EB1-890C-4C5F-AC11-20AC5060AD89}" destId="{5462B9D6-E31F-4688-B545-F701150EC6BE}" srcOrd="0" destOrd="0" presId="urn:microsoft.com/office/officeart/2005/8/layout/cycle5"/>
    <dgm:cxn modelId="{85839BA3-6ECB-43AB-84C5-66D2898CCCF4}" type="presOf" srcId="{B5081C09-FCF6-46A2-9812-E0CC03F3D0CE}" destId="{893588B0-A8EA-404A-9AB9-82F61EA2C849}" srcOrd="0" destOrd="0" presId="urn:microsoft.com/office/officeart/2005/8/layout/cycle5"/>
    <dgm:cxn modelId="{2F24E5B9-CA1D-45EB-BE70-E41029566DC5}" type="presOf" srcId="{3C421E60-5972-4962-9383-E79D9B7A75F8}" destId="{187B97A6-5A5C-4A40-8A00-F1570E1C8417}" srcOrd="0" destOrd="0" presId="urn:microsoft.com/office/officeart/2005/8/layout/cycle5"/>
    <dgm:cxn modelId="{C51330BC-860D-4835-A325-1ECA4682286C}" type="presOf" srcId="{3B5639DB-110D-4B5B-86E4-74A9F42A03FE}" destId="{76362A5C-332F-4245-82B2-2A7B68122F62}" srcOrd="0" destOrd="0" presId="urn:microsoft.com/office/officeart/2005/8/layout/cycle5"/>
    <dgm:cxn modelId="{F3040CC5-B6E5-4C65-87A5-90B47F2ACEED}" type="presOf" srcId="{6AE1502B-BF5C-4934-8C06-54F67FB4D0A3}" destId="{37AB1FBC-7814-460E-A817-12BCD05034FF}" srcOrd="0" destOrd="0" presId="urn:microsoft.com/office/officeart/2005/8/layout/cycle5"/>
    <dgm:cxn modelId="{D5A589DB-D301-4D75-8EE7-109700415D28}" srcId="{A4053C22-8F05-46E4-AC7D-C34494C98CF8}" destId="{895A2807-9661-4B45-9902-EB73582395F1}" srcOrd="2" destOrd="0" parTransId="{5DB8AD63-CC80-4349-AB1E-58B390D9F4A0}" sibTransId="{D11DB29C-F478-4DE3-9EE2-06D009B55A1D}"/>
    <dgm:cxn modelId="{45CDE4DB-53EA-4452-B8D7-07E60997C35A}" srcId="{A4053C22-8F05-46E4-AC7D-C34494C98CF8}" destId="{BCB20233-3345-42C4-87E4-507DBED3D621}" srcOrd="4" destOrd="0" parTransId="{474EDB71-26E5-4200-A722-79478BB92BE4}" sibTransId="{07DEDFCC-7B61-4584-9CF1-B1E4880D3845}"/>
    <dgm:cxn modelId="{8A56EADE-6FDE-4AB9-B051-6C6BFE3C0191}" srcId="{A4053C22-8F05-46E4-AC7D-C34494C98CF8}" destId="{127E6A2A-189F-4359-8DD4-9E5AB90B55A9}" srcOrd="8" destOrd="0" parTransId="{A799373B-D36E-44CE-956D-C29EAE2E6789}" sibTransId="{535CE48C-8624-4FBE-8CF4-6F935C8CB704}"/>
    <dgm:cxn modelId="{A844BEE5-31CE-4CF8-82A4-F4F463B8C45C}" type="presOf" srcId="{8F60A1D0-201F-4924-B465-84F8B6AE74F3}" destId="{10E8DAA8-8322-4DB4-B532-1251ED013AEE}" srcOrd="0" destOrd="0" presId="urn:microsoft.com/office/officeart/2005/8/layout/cycle5"/>
    <dgm:cxn modelId="{7CC53DE6-EC2F-458E-BEF4-3C8C289F5FA1}" type="presOf" srcId="{77D08A4F-1847-4EA6-9561-7F505F154C54}" destId="{E565434F-555C-488E-95F9-B33D3442937E}" srcOrd="0" destOrd="0" presId="urn:microsoft.com/office/officeart/2005/8/layout/cycle5"/>
    <dgm:cxn modelId="{B52B81F7-89F2-4F6F-A200-41D117E268B3}" srcId="{A4053C22-8F05-46E4-AC7D-C34494C98CF8}" destId="{8835FB7E-37BC-4ED6-A1F3-1AA48E2CC473}" srcOrd="0" destOrd="0" parTransId="{0B1A529C-3D50-4413-9070-6DA8DAC269D3}" sibTransId="{8ED51E84-4400-4516-8A9D-23CEFADE5479}"/>
    <dgm:cxn modelId="{AFE3FFBA-1F35-4670-A675-D511BDFE0B86}" type="presParOf" srcId="{5C67227A-FD05-46D5-A41E-6CF907373EF4}" destId="{9992DA5B-46C1-4C75-9296-6B9CE99C598C}" srcOrd="0" destOrd="0" presId="urn:microsoft.com/office/officeart/2005/8/layout/cycle5"/>
    <dgm:cxn modelId="{7A1E13B7-A869-4EB8-B195-30525FD9DE4B}" type="presParOf" srcId="{5C67227A-FD05-46D5-A41E-6CF907373EF4}" destId="{8D4131AE-BA23-412D-A105-12B531E05B52}" srcOrd="1" destOrd="0" presId="urn:microsoft.com/office/officeart/2005/8/layout/cycle5"/>
    <dgm:cxn modelId="{5224D385-8359-490A-85E9-111082B1216D}" type="presParOf" srcId="{5C67227A-FD05-46D5-A41E-6CF907373EF4}" destId="{E1D096F0-A59A-4912-8AA0-61631F5AE6BC}" srcOrd="2" destOrd="0" presId="urn:microsoft.com/office/officeart/2005/8/layout/cycle5"/>
    <dgm:cxn modelId="{E898801E-D749-454C-8753-9B54F647D756}" type="presParOf" srcId="{5C67227A-FD05-46D5-A41E-6CF907373EF4}" destId="{37AB1FBC-7814-460E-A817-12BCD05034FF}" srcOrd="3" destOrd="0" presId="urn:microsoft.com/office/officeart/2005/8/layout/cycle5"/>
    <dgm:cxn modelId="{A3367840-44D3-4DCD-BE8B-38EA688F800B}" type="presParOf" srcId="{5C67227A-FD05-46D5-A41E-6CF907373EF4}" destId="{BFF72FFC-FFEC-4654-AFF5-6EA1926B2FDB}" srcOrd="4" destOrd="0" presId="urn:microsoft.com/office/officeart/2005/8/layout/cycle5"/>
    <dgm:cxn modelId="{0461E02D-A026-41C5-B9F9-A13EC71E4EBE}" type="presParOf" srcId="{5C67227A-FD05-46D5-A41E-6CF907373EF4}" destId="{207620B4-6DE2-48D3-903D-0C899F0D93AE}" srcOrd="5" destOrd="0" presId="urn:microsoft.com/office/officeart/2005/8/layout/cycle5"/>
    <dgm:cxn modelId="{E6AE0B0A-A26D-4222-970B-CA46B14B54D5}" type="presParOf" srcId="{5C67227A-FD05-46D5-A41E-6CF907373EF4}" destId="{7D92851E-B651-4D3D-809C-1FBE6D0BCEDB}" srcOrd="6" destOrd="0" presId="urn:microsoft.com/office/officeart/2005/8/layout/cycle5"/>
    <dgm:cxn modelId="{48EFC868-271E-4696-9BC0-3FD690B756BE}" type="presParOf" srcId="{5C67227A-FD05-46D5-A41E-6CF907373EF4}" destId="{CB149658-745E-4004-8C46-AA67CDA6D960}" srcOrd="7" destOrd="0" presId="urn:microsoft.com/office/officeart/2005/8/layout/cycle5"/>
    <dgm:cxn modelId="{CF9BD821-BAAD-4C46-9FD0-7BDE382C8B16}" type="presParOf" srcId="{5C67227A-FD05-46D5-A41E-6CF907373EF4}" destId="{D43FDE95-F3BC-4E4C-924A-093B2BF69744}" srcOrd="8" destOrd="0" presId="urn:microsoft.com/office/officeart/2005/8/layout/cycle5"/>
    <dgm:cxn modelId="{51F300C3-196D-47B5-A2D1-387BD8AA3DB2}" type="presParOf" srcId="{5C67227A-FD05-46D5-A41E-6CF907373EF4}" destId="{CFE72A4E-C370-4C99-B404-D271A18399F0}" srcOrd="9" destOrd="0" presId="urn:microsoft.com/office/officeart/2005/8/layout/cycle5"/>
    <dgm:cxn modelId="{3CC336AE-9924-41EF-AD7A-A1FE0BE38E7B}" type="presParOf" srcId="{5C67227A-FD05-46D5-A41E-6CF907373EF4}" destId="{9B9843A3-87E1-4985-9E6D-59DD954C1DE6}" srcOrd="10" destOrd="0" presId="urn:microsoft.com/office/officeart/2005/8/layout/cycle5"/>
    <dgm:cxn modelId="{B3C92BE7-0958-4635-B744-83CC544FF20B}" type="presParOf" srcId="{5C67227A-FD05-46D5-A41E-6CF907373EF4}" destId="{76362A5C-332F-4245-82B2-2A7B68122F62}" srcOrd="11" destOrd="0" presId="urn:microsoft.com/office/officeart/2005/8/layout/cycle5"/>
    <dgm:cxn modelId="{F155D43E-CF98-47B3-B1CB-0F8FA28125BF}" type="presParOf" srcId="{5C67227A-FD05-46D5-A41E-6CF907373EF4}" destId="{A1EAD944-85CD-4F2E-8E29-030B371D9DD1}" srcOrd="12" destOrd="0" presId="urn:microsoft.com/office/officeart/2005/8/layout/cycle5"/>
    <dgm:cxn modelId="{AE88ABFA-EA2D-46F2-A4CA-CBCD862CB707}" type="presParOf" srcId="{5C67227A-FD05-46D5-A41E-6CF907373EF4}" destId="{D640E898-0EAC-4B23-8263-9053186992D5}" srcOrd="13" destOrd="0" presId="urn:microsoft.com/office/officeart/2005/8/layout/cycle5"/>
    <dgm:cxn modelId="{37FC6FB0-8847-4C1B-8390-16D9DD15323A}" type="presParOf" srcId="{5C67227A-FD05-46D5-A41E-6CF907373EF4}" destId="{A067EDC1-8BE2-41DD-AC2A-69C71C4A3ABA}" srcOrd="14" destOrd="0" presId="urn:microsoft.com/office/officeart/2005/8/layout/cycle5"/>
    <dgm:cxn modelId="{4A4F348C-36F4-43D0-AA29-D710AA1B1A81}" type="presParOf" srcId="{5C67227A-FD05-46D5-A41E-6CF907373EF4}" destId="{E565434F-555C-488E-95F9-B33D3442937E}" srcOrd="15" destOrd="0" presId="urn:microsoft.com/office/officeart/2005/8/layout/cycle5"/>
    <dgm:cxn modelId="{F22BEC8D-F838-4CFE-A825-DA8B511E9446}" type="presParOf" srcId="{5C67227A-FD05-46D5-A41E-6CF907373EF4}" destId="{43EA981E-3A20-4138-814E-A77E171F045E}" srcOrd="16" destOrd="0" presId="urn:microsoft.com/office/officeart/2005/8/layout/cycle5"/>
    <dgm:cxn modelId="{16826969-3F42-4F07-9826-D76C68060899}" type="presParOf" srcId="{5C67227A-FD05-46D5-A41E-6CF907373EF4}" destId="{5462B9D6-E31F-4688-B545-F701150EC6BE}" srcOrd="17" destOrd="0" presId="urn:microsoft.com/office/officeart/2005/8/layout/cycle5"/>
    <dgm:cxn modelId="{0FC32A69-9706-463F-9F8D-0EEA3E671695}" type="presParOf" srcId="{5C67227A-FD05-46D5-A41E-6CF907373EF4}" destId="{58FD75D1-8B03-4F3F-8B2A-82F38817136A}" srcOrd="18" destOrd="0" presId="urn:microsoft.com/office/officeart/2005/8/layout/cycle5"/>
    <dgm:cxn modelId="{DB8FEC69-74DB-4173-805A-AA63B610CBF7}" type="presParOf" srcId="{5C67227A-FD05-46D5-A41E-6CF907373EF4}" destId="{F2656320-F578-4AB2-BBDB-7AD0B398EBA7}" srcOrd="19" destOrd="0" presId="urn:microsoft.com/office/officeart/2005/8/layout/cycle5"/>
    <dgm:cxn modelId="{12DE4813-68A1-437F-B9C6-E7D8E5BA6053}" type="presParOf" srcId="{5C67227A-FD05-46D5-A41E-6CF907373EF4}" destId="{893588B0-A8EA-404A-9AB9-82F61EA2C849}" srcOrd="20" destOrd="0" presId="urn:microsoft.com/office/officeart/2005/8/layout/cycle5"/>
    <dgm:cxn modelId="{14FD9CEC-D4DC-464E-897E-D47A84BE6E74}" type="presParOf" srcId="{5C67227A-FD05-46D5-A41E-6CF907373EF4}" destId="{10E8DAA8-8322-4DB4-B532-1251ED013AEE}" srcOrd="21" destOrd="0" presId="urn:microsoft.com/office/officeart/2005/8/layout/cycle5"/>
    <dgm:cxn modelId="{B9669F0E-6A7F-45AF-BDE5-35FD09548772}" type="presParOf" srcId="{5C67227A-FD05-46D5-A41E-6CF907373EF4}" destId="{0C67FE1D-6293-4EDD-B2BF-EC440FC8DB35}" srcOrd="22" destOrd="0" presId="urn:microsoft.com/office/officeart/2005/8/layout/cycle5"/>
    <dgm:cxn modelId="{3859339A-E0E1-4DA0-A8A3-17B9EEE96292}" type="presParOf" srcId="{5C67227A-FD05-46D5-A41E-6CF907373EF4}" destId="{187B97A6-5A5C-4A40-8A00-F1570E1C8417}" srcOrd="23" destOrd="0" presId="urn:microsoft.com/office/officeart/2005/8/layout/cycle5"/>
    <dgm:cxn modelId="{EB8C09DA-626B-42E2-A758-3A04354900C1}" type="presParOf" srcId="{5C67227A-FD05-46D5-A41E-6CF907373EF4}" destId="{1C19CD15-5ED7-4B5B-A51D-F7F4795AF923}" srcOrd="24" destOrd="0" presId="urn:microsoft.com/office/officeart/2005/8/layout/cycle5"/>
    <dgm:cxn modelId="{69738861-D7CD-4C79-8C40-420A6FA24713}" type="presParOf" srcId="{5C67227A-FD05-46D5-A41E-6CF907373EF4}" destId="{A5317E3F-7352-4097-9E12-28A0DB23C4EA}" srcOrd="25" destOrd="0" presId="urn:microsoft.com/office/officeart/2005/8/layout/cycle5"/>
    <dgm:cxn modelId="{1E22B521-3CDB-4AE0-AFBF-93E2566BEB05}" type="presParOf" srcId="{5C67227A-FD05-46D5-A41E-6CF907373EF4}" destId="{92498B50-D7F2-4845-8398-15DEC2051EFC}" srcOrd="26" destOrd="0" presId="urn:microsoft.com/office/officeart/2005/8/layout/cycle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92DA5B-46C1-4C75-9296-6B9CE99C598C}">
      <dsp:nvSpPr>
        <dsp:cNvPr id="0" name=""/>
        <dsp:cNvSpPr/>
      </dsp:nvSpPr>
      <dsp:spPr>
        <a:xfrm>
          <a:off x="2451868" y="1563"/>
          <a:ext cx="582662" cy="37873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1. Transferencia de recursos.</a:t>
          </a:r>
        </a:p>
      </dsp:txBody>
      <dsp:txXfrm>
        <a:off x="2470356" y="20051"/>
        <a:ext cx="545686" cy="341754"/>
      </dsp:txXfrm>
    </dsp:sp>
    <dsp:sp modelId="{E1D096F0-A59A-4912-8AA0-61631F5AE6BC}">
      <dsp:nvSpPr>
        <dsp:cNvPr id="0" name=""/>
        <dsp:cNvSpPr/>
      </dsp:nvSpPr>
      <dsp:spPr>
        <a:xfrm>
          <a:off x="1290112" y="190928"/>
          <a:ext cx="2906175" cy="2906175"/>
        </a:xfrm>
        <a:custGeom>
          <a:avLst/>
          <a:gdLst/>
          <a:ahLst/>
          <a:cxnLst/>
          <a:rect l="0" t="0" r="0" b="0"/>
          <a:pathLst>
            <a:path>
              <a:moveTo>
                <a:pt x="1817097" y="46332"/>
              </a:moveTo>
              <a:arcTo wR="1453087" hR="1453087" stAng="17070455" swAng="531984"/>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7AB1FBC-7814-460E-A817-12BCD05034FF}">
      <dsp:nvSpPr>
        <dsp:cNvPr id="0" name=""/>
        <dsp:cNvSpPr/>
      </dsp:nvSpPr>
      <dsp:spPr>
        <a:xfrm>
          <a:off x="3385895" y="341521"/>
          <a:ext cx="582662" cy="378730"/>
        </a:xfrm>
        <a:prstGeom prst="roundRect">
          <a:avLst/>
        </a:prstGeom>
        <a:solidFill>
          <a:schemeClr val="accent5">
            <a:hueOff val="-919168"/>
            <a:satOff val="-1278"/>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2. Registro e información financiera de las operaciones.</a:t>
          </a:r>
        </a:p>
      </dsp:txBody>
      <dsp:txXfrm>
        <a:off x="3404383" y="360009"/>
        <a:ext cx="545686" cy="341754"/>
      </dsp:txXfrm>
    </dsp:sp>
    <dsp:sp modelId="{207620B4-6DE2-48D3-903D-0C899F0D93AE}">
      <dsp:nvSpPr>
        <dsp:cNvPr id="0" name=""/>
        <dsp:cNvSpPr/>
      </dsp:nvSpPr>
      <dsp:spPr>
        <a:xfrm>
          <a:off x="1290112" y="190928"/>
          <a:ext cx="2906175" cy="2906175"/>
        </a:xfrm>
        <a:custGeom>
          <a:avLst/>
          <a:gdLst/>
          <a:ahLst/>
          <a:cxnLst/>
          <a:rect l="0" t="0" r="0" b="0"/>
          <a:pathLst>
            <a:path>
              <a:moveTo>
                <a:pt x="2641282" y="616633"/>
              </a:moveTo>
              <a:arcTo wR="1453087" hR="1453087" stAng="19491335" swAng="787140"/>
            </a:path>
          </a:pathLst>
        </a:custGeom>
        <a:noFill/>
        <a:ln w="6350" cap="flat" cmpd="sng" algn="ctr">
          <a:solidFill>
            <a:schemeClr val="accent5">
              <a:hueOff val="-919168"/>
              <a:satOff val="-1278"/>
              <a:lumOff val="-49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D92851E-B651-4D3D-809C-1FBE6D0BCEDB}">
      <dsp:nvSpPr>
        <dsp:cNvPr id="0" name=""/>
        <dsp:cNvSpPr/>
      </dsp:nvSpPr>
      <dsp:spPr>
        <a:xfrm>
          <a:off x="3882880" y="1202324"/>
          <a:ext cx="582662" cy="378730"/>
        </a:xfrm>
        <a:prstGeom prst="roundRect">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3. Destino de los recursos.</a:t>
          </a:r>
        </a:p>
      </dsp:txBody>
      <dsp:txXfrm>
        <a:off x="3901368" y="1220812"/>
        <a:ext cx="545686" cy="341754"/>
      </dsp:txXfrm>
    </dsp:sp>
    <dsp:sp modelId="{D43FDE95-F3BC-4E4C-924A-093B2BF69744}">
      <dsp:nvSpPr>
        <dsp:cNvPr id="0" name=""/>
        <dsp:cNvSpPr/>
      </dsp:nvSpPr>
      <dsp:spPr>
        <a:xfrm>
          <a:off x="1290112" y="190928"/>
          <a:ext cx="2906175" cy="2906175"/>
        </a:xfrm>
        <a:custGeom>
          <a:avLst/>
          <a:gdLst/>
          <a:ahLst/>
          <a:cxnLst/>
          <a:rect l="0" t="0" r="0" b="0"/>
          <a:pathLst>
            <a:path>
              <a:moveTo>
                <a:pt x="2904987" y="1511825"/>
              </a:moveTo>
              <a:arcTo wR="1453087" hR="1453087" stAng="21739002" swAng="874751"/>
            </a:path>
          </a:pathLst>
        </a:custGeom>
        <a:noFill/>
        <a:ln w="6350" cap="flat" cmpd="sng" algn="ctr">
          <a:solidFill>
            <a:schemeClr val="accent5">
              <a:hueOff val="-1838336"/>
              <a:satOff val="-2557"/>
              <a:lumOff val="-98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FE72A4E-C370-4C99-B404-D271A18399F0}">
      <dsp:nvSpPr>
        <dsp:cNvPr id="0" name=""/>
        <dsp:cNvSpPr/>
      </dsp:nvSpPr>
      <dsp:spPr>
        <a:xfrm>
          <a:off x="3710279" y="2181194"/>
          <a:ext cx="582662" cy="378730"/>
        </a:xfrm>
        <a:prstGeom prst="roundRect">
          <a:avLst/>
        </a:prstGeom>
        <a:solidFill>
          <a:schemeClr val="accent5">
            <a:hueOff val="-2757504"/>
            <a:satOff val="-3835"/>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4. Servicios personales.</a:t>
          </a:r>
        </a:p>
      </dsp:txBody>
      <dsp:txXfrm>
        <a:off x="3728767" y="2199682"/>
        <a:ext cx="545686" cy="341754"/>
      </dsp:txXfrm>
    </dsp:sp>
    <dsp:sp modelId="{76362A5C-332F-4245-82B2-2A7B68122F62}">
      <dsp:nvSpPr>
        <dsp:cNvPr id="0" name=""/>
        <dsp:cNvSpPr/>
      </dsp:nvSpPr>
      <dsp:spPr>
        <a:xfrm>
          <a:off x="1290112" y="190928"/>
          <a:ext cx="2906175" cy="2906175"/>
        </a:xfrm>
        <a:custGeom>
          <a:avLst/>
          <a:gdLst/>
          <a:ahLst/>
          <a:cxnLst/>
          <a:rect l="0" t="0" r="0" b="0"/>
          <a:pathLst>
            <a:path>
              <a:moveTo>
                <a:pt x="2521446" y="2438010"/>
              </a:moveTo>
              <a:arcTo wR="1453087" hR="1453087" stAng="2560382" swAng="652372"/>
            </a:path>
          </a:pathLst>
        </a:custGeom>
        <a:noFill/>
        <a:ln w="6350" cap="flat" cmpd="sng" algn="ctr">
          <a:solidFill>
            <a:schemeClr val="accent5">
              <a:hueOff val="-2757504"/>
              <a:satOff val="-3835"/>
              <a:lumOff val="-147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1EAD944-85CD-4F2E-8E29-030B371D9DD1}">
      <dsp:nvSpPr>
        <dsp:cNvPr id="0" name=""/>
        <dsp:cNvSpPr/>
      </dsp:nvSpPr>
      <dsp:spPr>
        <a:xfrm>
          <a:off x="2948854" y="2820106"/>
          <a:ext cx="582662" cy="378730"/>
        </a:xfrm>
        <a:prstGeom prst="roundRec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5. Adquisiciones.</a:t>
          </a:r>
        </a:p>
      </dsp:txBody>
      <dsp:txXfrm>
        <a:off x="2967342" y="2838594"/>
        <a:ext cx="545686" cy="341754"/>
      </dsp:txXfrm>
    </dsp:sp>
    <dsp:sp modelId="{A067EDC1-8BE2-41DD-AC2A-69C71C4A3ABA}">
      <dsp:nvSpPr>
        <dsp:cNvPr id="0" name=""/>
        <dsp:cNvSpPr/>
      </dsp:nvSpPr>
      <dsp:spPr>
        <a:xfrm>
          <a:off x="1290112" y="190928"/>
          <a:ext cx="2906175" cy="2906175"/>
        </a:xfrm>
        <a:custGeom>
          <a:avLst/>
          <a:gdLst/>
          <a:ahLst/>
          <a:cxnLst/>
          <a:rect l="0" t="0" r="0" b="0"/>
          <a:pathLst>
            <a:path>
              <a:moveTo>
                <a:pt x="1577022" y="2900880"/>
              </a:moveTo>
              <a:arcTo wR="1453087" hR="1453087" stAng="5106436" swAng="587128"/>
            </a:path>
          </a:pathLst>
        </a:custGeom>
        <a:noFill/>
        <a:ln w="6350" cap="flat" cmpd="sng" algn="ctr">
          <a:solidFill>
            <a:schemeClr val="accent5">
              <a:hueOff val="-3676672"/>
              <a:satOff val="-5114"/>
              <a:lumOff val="-196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565434F-555C-488E-95F9-B33D3442937E}">
      <dsp:nvSpPr>
        <dsp:cNvPr id="0" name=""/>
        <dsp:cNvSpPr/>
      </dsp:nvSpPr>
      <dsp:spPr>
        <a:xfrm>
          <a:off x="1954883" y="2820106"/>
          <a:ext cx="582662" cy="378730"/>
        </a:xfrm>
        <a:prstGeom prst="roundRect">
          <a:avLst/>
        </a:prstGeom>
        <a:solidFill>
          <a:schemeClr val="accent5">
            <a:hueOff val="-4595840"/>
            <a:satOff val="-6392"/>
            <a:lumOff val="-2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6. Obra pública.</a:t>
          </a:r>
        </a:p>
      </dsp:txBody>
      <dsp:txXfrm>
        <a:off x="1973371" y="2838594"/>
        <a:ext cx="545686" cy="341754"/>
      </dsp:txXfrm>
    </dsp:sp>
    <dsp:sp modelId="{5462B9D6-E31F-4688-B545-F701150EC6BE}">
      <dsp:nvSpPr>
        <dsp:cNvPr id="0" name=""/>
        <dsp:cNvSpPr/>
      </dsp:nvSpPr>
      <dsp:spPr>
        <a:xfrm>
          <a:off x="1290112" y="190928"/>
          <a:ext cx="2906175" cy="2906175"/>
        </a:xfrm>
        <a:custGeom>
          <a:avLst/>
          <a:gdLst/>
          <a:ahLst/>
          <a:cxnLst/>
          <a:rect l="0" t="0" r="0" b="0"/>
          <a:pathLst>
            <a:path>
              <a:moveTo>
                <a:pt x="589693" y="2621854"/>
              </a:moveTo>
              <a:arcTo wR="1453087" hR="1453087" stAng="7587246" swAng="652372"/>
            </a:path>
          </a:pathLst>
        </a:custGeom>
        <a:noFill/>
        <a:ln w="6350" cap="flat" cmpd="sng" algn="ctr">
          <a:solidFill>
            <a:schemeClr val="accent5">
              <a:hueOff val="-4595840"/>
              <a:satOff val="-6392"/>
              <a:lumOff val="-245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8FD75D1-8B03-4F3F-8B2A-82F38817136A}">
      <dsp:nvSpPr>
        <dsp:cNvPr id="0" name=""/>
        <dsp:cNvSpPr/>
      </dsp:nvSpPr>
      <dsp:spPr>
        <a:xfrm>
          <a:off x="1193458" y="2181194"/>
          <a:ext cx="582662" cy="378730"/>
        </a:xfrm>
        <a:prstGeom prst="roundRect">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7. Transferencia y difusión de la información</a:t>
          </a:r>
        </a:p>
      </dsp:txBody>
      <dsp:txXfrm>
        <a:off x="1211946" y="2199682"/>
        <a:ext cx="545686" cy="341754"/>
      </dsp:txXfrm>
    </dsp:sp>
    <dsp:sp modelId="{893588B0-A8EA-404A-9AB9-82F61EA2C849}">
      <dsp:nvSpPr>
        <dsp:cNvPr id="0" name=""/>
        <dsp:cNvSpPr/>
      </dsp:nvSpPr>
      <dsp:spPr>
        <a:xfrm>
          <a:off x="1290112" y="190928"/>
          <a:ext cx="2906175" cy="2906175"/>
        </a:xfrm>
        <a:custGeom>
          <a:avLst/>
          <a:gdLst/>
          <a:ahLst/>
          <a:cxnLst/>
          <a:rect l="0" t="0" r="0" b="0"/>
          <a:pathLst>
            <a:path>
              <a:moveTo>
                <a:pt x="62723" y="1875403"/>
              </a:moveTo>
              <a:arcTo wR="1453087" hR="1453087" stAng="9786247" swAng="874751"/>
            </a:path>
          </a:pathLst>
        </a:custGeom>
        <a:noFill/>
        <a:ln w="6350" cap="flat" cmpd="sng" algn="ctr">
          <a:solidFill>
            <a:schemeClr val="accent5">
              <a:hueOff val="-5515009"/>
              <a:satOff val="-7671"/>
              <a:lumOff val="-294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0E8DAA8-8322-4DB4-B532-1251ED013AEE}">
      <dsp:nvSpPr>
        <dsp:cNvPr id="0" name=""/>
        <dsp:cNvSpPr/>
      </dsp:nvSpPr>
      <dsp:spPr>
        <a:xfrm>
          <a:off x="1020857" y="1202324"/>
          <a:ext cx="582662" cy="378730"/>
        </a:xfrm>
        <a:prstGeom prst="roundRect">
          <a:avLst/>
        </a:prstGeom>
        <a:solidFill>
          <a:schemeClr val="accent5">
            <a:hueOff val="-6434176"/>
            <a:satOff val="-8949"/>
            <a:lumOff val="-343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8. Cumplimiento de metas y objetivos.</a:t>
          </a:r>
        </a:p>
      </dsp:txBody>
      <dsp:txXfrm>
        <a:off x="1039345" y="1220812"/>
        <a:ext cx="545686" cy="341754"/>
      </dsp:txXfrm>
    </dsp:sp>
    <dsp:sp modelId="{187B97A6-5A5C-4A40-8A00-F1570E1C8417}">
      <dsp:nvSpPr>
        <dsp:cNvPr id="0" name=""/>
        <dsp:cNvSpPr/>
      </dsp:nvSpPr>
      <dsp:spPr>
        <a:xfrm>
          <a:off x="1290112" y="190928"/>
          <a:ext cx="2906175" cy="2906175"/>
        </a:xfrm>
        <a:custGeom>
          <a:avLst/>
          <a:gdLst/>
          <a:ahLst/>
          <a:cxnLst/>
          <a:rect l="0" t="0" r="0" b="0"/>
          <a:pathLst>
            <a:path>
              <a:moveTo>
                <a:pt x="106049" y="908153"/>
              </a:moveTo>
              <a:arcTo wR="1453087" hR="1453087" stAng="12121526" swAng="787140"/>
            </a:path>
          </a:pathLst>
        </a:custGeom>
        <a:noFill/>
        <a:ln w="6350" cap="flat" cmpd="sng" algn="ctr">
          <a:solidFill>
            <a:schemeClr val="accent5">
              <a:hueOff val="-6434176"/>
              <a:satOff val="-8949"/>
              <a:lumOff val="-343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C19CD15-5ED7-4B5B-A51D-F7F4795AF923}">
      <dsp:nvSpPr>
        <dsp:cNvPr id="0" name=""/>
        <dsp:cNvSpPr/>
      </dsp:nvSpPr>
      <dsp:spPr>
        <a:xfrm>
          <a:off x="1517842" y="341521"/>
          <a:ext cx="582662" cy="378730"/>
        </a:xfrm>
        <a:prstGeom prst="round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Cumplimiento de la Ley Gral. de Contabilidad Gubernamental.</a:t>
          </a:r>
        </a:p>
      </dsp:txBody>
      <dsp:txXfrm>
        <a:off x="1536330" y="360009"/>
        <a:ext cx="545686" cy="341754"/>
      </dsp:txXfrm>
    </dsp:sp>
    <dsp:sp modelId="{92498B50-D7F2-4845-8398-15DEC2051EFC}">
      <dsp:nvSpPr>
        <dsp:cNvPr id="0" name=""/>
        <dsp:cNvSpPr/>
      </dsp:nvSpPr>
      <dsp:spPr>
        <a:xfrm>
          <a:off x="1290112" y="190928"/>
          <a:ext cx="2906175" cy="2906175"/>
        </a:xfrm>
        <a:custGeom>
          <a:avLst/>
          <a:gdLst/>
          <a:ahLst/>
          <a:cxnLst/>
          <a:rect l="0" t="0" r="0" b="0"/>
          <a:pathLst>
            <a:path>
              <a:moveTo>
                <a:pt x="876602" y="119247"/>
              </a:moveTo>
              <a:arcTo wR="1453087" hR="1453087" stAng="14797561" swAng="531984"/>
            </a:path>
          </a:pathLst>
        </a:custGeom>
        <a:noFill/>
        <a:ln w="6350" cap="flat" cmpd="sng" algn="ctr">
          <a:solidFill>
            <a:schemeClr val="accent5">
              <a:hueOff val="-7353344"/>
              <a:satOff val="-10228"/>
              <a:lumOff val="-392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4407</Words>
  <Characters>24241</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U.  A.   de   C.</Company>
  <LinksUpToDate>false</LinksUpToDate>
  <CharactersWithSpaces>28591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RogelioCamargo</dc:creator>
  <cp:keywords/>
  <dc:description/>
  <cp:lastModifiedBy>Alejandro</cp:lastModifiedBy>
  <cp:revision>6</cp:revision>
  <dcterms:created xsi:type="dcterms:W3CDTF">2020-10-07T18:10:00Z</dcterms:created>
  <dcterms:modified xsi:type="dcterms:W3CDTF">2025-08-20T17:26:00Z</dcterms:modified>
</cp:coreProperties>
</file>